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BF1B0F" w:rsidTr="007C21A3">
        <w:trPr>
          <w:trHeight w:val="522"/>
        </w:trPr>
        <w:tc>
          <w:tcPr>
            <w:tcW w:w="9016" w:type="dxa"/>
          </w:tcPr>
          <w:p w:rsidR="007E5170" w:rsidRPr="007C21A3" w:rsidRDefault="007C21A3" w:rsidP="00E257EE">
            <w:pPr>
              <w:jc w:val="both"/>
              <w:rPr>
                <w:rFonts w:ascii="Arial" w:hAnsi="Arial" w:cs="Arial"/>
                <w:i/>
                <w:color w:val="FF0000"/>
                <w:sz w:val="24"/>
                <w:szCs w:val="24"/>
              </w:rPr>
            </w:pPr>
            <w:r w:rsidRPr="007C21A3">
              <w:rPr>
                <w:rFonts w:ascii="Arial" w:hAnsi="Arial" w:cs="Arial"/>
                <w:b/>
                <w:sz w:val="24"/>
                <w:szCs w:val="24"/>
              </w:rPr>
              <w:t>Procurement Title</w:t>
            </w:r>
          </w:p>
          <w:p w:rsidR="007E5170" w:rsidRPr="007C21A3" w:rsidRDefault="007C21A3" w:rsidP="00E257EE">
            <w:pPr>
              <w:jc w:val="both"/>
              <w:rPr>
                <w:rFonts w:ascii="Arial" w:hAnsi="Arial" w:cs="Arial"/>
                <w:b/>
                <w:sz w:val="24"/>
                <w:szCs w:val="24"/>
              </w:rPr>
            </w:pPr>
            <w:r w:rsidRPr="007C21A3">
              <w:rPr>
                <w:rFonts w:ascii="Arial" w:hAnsi="Arial" w:cs="Arial"/>
                <w:sz w:val="24"/>
                <w:szCs w:val="24"/>
              </w:rPr>
              <w:t>The Supply of Grocery, Soft Drinks and Frozen Food Products to Lancashire County Council Establishments</w:t>
            </w:r>
          </w:p>
        </w:tc>
      </w:tr>
      <w:tr w:rsidR="00BF1B0F" w:rsidTr="007C21A3">
        <w:trPr>
          <w:trHeight w:val="511"/>
        </w:trPr>
        <w:tc>
          <w:tcPr>
            <w:tcW w:w="9016" w:type="dxa"/>
          </w:tcPr>
          <w:p w:rsidR="007E5170" w:rsidRPr="007C21A3" w:rsidRDefault="007C21A3" w:rsidP="00E257EE">
            <w:pPr>
              <w:jc w:val="both"/>
              <w:rPr>
                <w:rFonts w:ascii="Arial" w:hAnsi="Arial" w:cs="Arial"/>
                <w:i/>
                <w:color w:val="FF0000"/>
                <w:sz w:val="24"/>
                <w:szCs w:val="24"/>
              </w:rPr>
            </w:pPr>
            <w:r w:rsidRPr="007C21A3">
              <w:rPr>
                <w:rFonts w:ascii="Arial" w:hAnsi="Arial" w:cs="Arial"/>
                <w:b/>
                <w:sz w:val="24"/>
                <w:szCs w:val="24"/>
              </w:rPr>
              <w:t>Procurement Option</w:t>
            </w:r>
          </w:p>
          <w:p w:rsidR="007E5170" w:rsidRPr="007C21A3" w:rsidRDefault="007C21A3" w:rsidP="00E257EE">
            <w:pPr>
              <w:jc w:val="both"/>
              <w:rPr>
                <w:rFonts w:ascii="Arial" w:hAnsi="Arial" w:cs="Arial"/>
                <w:sz w:val="24"/>
                <w:szCs w:val="24"/>
              </w:rPr>
            </w:pPr>
            <w:r w:rsidRPr="007C21A3">
              <w:rPr>
                <w:rFonts w:ascii="Arial" w:hAnsi="Arial" w:cs="Arial"/>
                <w:sz w:val="24"/>
                <w:szCs w:val="24"/>
              </w:rPr>
              <w:t>OJEU – Open Tender</w:t>
            </w:r>
            <w:r w:rsidRPr="007C21A3">
              <w:rPr>
                <w:rFonts w:ascii="Arial" w:hAnsi="Arial" w:cs="Arial"/>
                <w:sz w:val="24"/>
                <w:szCs w:val="24"/>
              </w:rPr>
              <w:t xml:space="preserve"> Procedure </w:t>
            </w:r>
          </w:p>
          <w:p w:rsidR="007E5170" w:rsidRPr="007C21A3" w:rsidRDefault="007C21A3" w:rsidP="00E257EE">
            <w:pPr>
              <w:jc w:val="both"/>
              <w:rPr>
                <w:rFonts w:ascii="Arial" w:hAnsi="Arial" w:cs="Arial"/>
                <w:sz w:val="24"/>
                <w:szCs w:val="24"/>
              </w:rPr>
            </w:pPr>
          </w:p>
          <w:p w:rsidR="007E5170" w:rsidRPr="007C21A3" w:rsidRDefault="007C21A3" w:rsidP="00E257EE">
            <w:pPr>
              <w:autoSpaceDE w:val="0"/>
              <w:autoSpaceDN w:val="0"/>
              <w:adjustRightInd w:val="0"/>
              <w:spacing w:after="120"/>
              <w:jc w:val="both"/>
              <w:rPr>
                <w:rFonts w:ascii="Arial" w:hAnsi="Arial" w:cs="Arial"/>
                <w:color w:val="FF0000"/>
                <w:sz w:val="24"/>
                <w:szCs w:val="24"/>
              </w:rPr>
            </w:pPr>
            <w:r w:rsidRPr="007C21A3">
              <w:rPr>
                <w:rFonts w:ascii="Arial" w:eastAsia="Calibri" w:hAnsi="Arial" w:cs="Arial"/>
                <w:sz w:val="24"/>
                <w:szCs w:val="24"/>
              </w:rPr>
              <w:t>The use of an external 3</w:t>
            </w:r>
            <w:r w:rsidRPr="007C21A3">
              <w:rPr>
                <w:rFonts w:ascii="Arial" w:eastAsia="Calibri" w:hAnsi="Arial" w:cs="Arial"/>
                <w:sz w:val="24"/>
                <w:szCs w:val="24"/>
                <w:vertAlign w:val="superscript"/>
              </w:rPr>
              <w:t>rd</w:t>
            </w:r>
            <w:r w:rsidRPr="007C21A3">
              <w:rPr>
                <w:rFonts w:ascii="Arial" w:eastAsia="Calibri" w:hAnsi="Arial" w:cs="Arial"/>
                <w:sz w:val="24"/>
                <w:szCs w:val="24"/>
              </w:rPr>
              <w:t xml:space="preserve"> party framework has been discounted for the supply of these contracts. Under the provision of a food distribution network (approved by Cabinet in September 2018), a strategy was agreed to appoint a main distributor so that the individual supply of food gr</w:t>
            </w:r>
            <w:r w:rsidRPr="007C21A3">
              <w:rPr>
                <w:rFonts w:ascii="Arial" w:eastAsia="Calibri" w:hAnsi="Arial" w:cs="Arial"/>
                <w:sz w:val="24"/>
                <w:szCs w:val="24"/>
              </w:rPr>
              <w:t>oups could be tendered in such a way as to encourage bids from local SME providers. The use of a 3</w:t>
            </w:r>
            <w:r w:rsidRPr="007C21A3">
              <w:rPr>
                <w:rFonts w:ascii="Arial" w:eastAsia="Calibri" w:hAnsi="Arial" w:cs="Arial"/>
                <w:sz w:val="24"/>
                <w:szCs w:val="24"/>
                <w:vertAlign w:val="superscript"/>
              </w:rPr>
              <w:t>rd</w:t>
            </w:r>
            <w:r w:rsidRPr="007C21A3">
              <w:rPr>
                <w:rFonts w:ascii="Arial" w:eastAsia="Calibri" w:hAnsi="Arial" w:cs="Arial"/>
                <w:sz w:val="24"/>
                <w:szCs w:val="24"/>
              </w:rPr>
              <w:t xml:space="preserve"> party framework would not support this strategy as they restrict the potential number of suppliers who are able to bid for these contracts and in the major</w:t>
            </w:r>
            <w:r w:rsidRPr="007C21A3">
              <w:rPr>
                <w:rFonts w:ascii="Arial" w:eastAsia="Calibri" w:hAnsi="Arial" w:cs="Arial"/>
                <w:sz w:val="24"/>
                <w:szCs w:val="24"/>
              </w:rPr>
              <w:t>ity of cases, are limited to large-scale national suppliers.</w:t>
            </w:r>
          </w:p>
        </w:tc>
      </w:tr>
      <w:tr w:rsidR="00BF1B0F" w:rsidTr="007C21A3">
        <w:trPr>
          <w:trHeight w:val="511"/>
        </w:trPr>
        <w:tc>
          <w:tcPr>
            <w:tcW w:w="9016" w:type="dxa"/>
          </w:tcPr>
          <w:p w:rsidR="007E5170" w:rsidRPr="007C21A3" w:rsidRDefault="007C21A3" w:rsidP="00E257EE">
            <w:pPr>
              <w:jc w:val="both"/>
              <w:rPr>
                <w:rFonts w:ascii="Arial" w:hAnsi="Arial" w:cs="Arial"/>
                <w:i/>
                <w:color w:val="FF0000"/>
                <w:sz w:val="24"/>
                <w:szCs w:val="24"/>
              </w:rPr>
            </w:pPr>
            <w:r w:rsidRPr="007C21A3">
              <w:rPr>
                <w:rFonts w:ascii="Arial" w:hAnsi="Arial" w:cs="Arial"/>
                <w:b/>
                <w:sz w:val="24"/>
                <w:szCs w:val="24"/>
              </w:rPr>
              <w:t>New or Existing Provision</w:t>
            </w:r>
          </w:p>
          <w:p w:rsidR="007E5170" w:rsidRPr="007C21A3" w:rsidRDefault="007C21A3" w:rsidP="00E257EE">
            <w:pPr>
              <w:jc w:val="both"/>
              <w:rPr>
                <w:rFonts w:ascii="Arial" w:hAnsi="Arial" w:cs="Arial"/>
                <w:color w:val="FF0000"/>
                <w:sz w:val="24"/>
                <w:szCs w:val="24"/>
              </w:rPr>
            </w:pPr>
            <w:r w:rsidRPr="007C21A3">
              <w:rPr>
                <w:rFonts w:ascii="Arial" w:hAnsi="Arial" w:cs="Arial"/>
                <w:sz w:val="24"/>
                <w:szCs w:val="24"/>
              </w:rPr>
              <w:t>Existing</w:t>
            </w:r>
          </w:p>
        </w:tc>
      </w:tr>
      <w:tr w:rsidR="00BF1B0F" w:rsidTr="007C21A3">
        <w:trPr>
          <w:trHeight w:val="802"/>
        </w:trPr>
        <w:tc>
          <w:tcPr>
            <w:tcW w:w="9016" w:type="dxa"/>
          </w:tcPr>
          <w:p w:rsidR="007E5170" w:rsidRPr="007C21A3" w:rsidRDefault="007C21A3" w:rsidP="00E257EE">
            <w:pPr>
              <w:jc w:val="both"/>
              <w:rPr>
                <w:rFonts w:ascii="Arial" w:hAnsi="Arial" w:cs="Arial"/>
                <w:i/>
                <w:color w:val="FF0000"/>
                <w:sz w:val="24"/>
                <w:szCs w:val="24"/>
              </w:rPr>
            </w:pPr>
            <w:r w:rsidRPr="007C21A3">
              <w:rPr>
                <w:rFonts w:ascii="Arial" w:hAnsi="Arial" w:cs="Arial"/>
                <w:b/>
                <w:sz w:val="24"/>
                <w:szCs w:val="24"/>
              </w:rPr>
              <w:t xml:space="preserve">Estimated </w:t>
            </w:r>
            <w:r w:rsidRPr="007C21A3">
              <w:rPr>
                <w:rFonts w:ascii="Arial" w:hAnsi="Arial" w:cs="Arial"/>
                <w:b/>
                <w:sz w:val="24"/>
                <w:szCs w:val="24"/>
              </w:rPr>
              <w:t xml:space="preserve">Contract </w:t>
            </w:r>
            <w:r w:rsidRPr="007C21A3">
              <w:rPr>
                <w:rFonts w:ascii="Arial" w:hAnsi="Arial" w:cs="Arial"/>
                <w:b/>
                <w:sz w:val="24"/>
                <w:szCs w:val="24"/>
              </w:rPr>
              <w:t>Value and Funding Arrangements</w:t>
            </w:r>
            <w:r w:rsidRPr="007C21A3">
              <w:rPr>
                <w:rFonts w:ascii="Arial" w:hAnsi="Arial" w:cs="Arial"/>
                <w:i/>
                <w:color w:val="FF0000"/>
                <w:sz w:val="24"/>
                <w:szCs w:val="24"/>
              </w:rPr>
              <w:t xml:space="preserve"> </w:t>
            </w:r>
          </w:p>
          <w:p w:rsidR="007E5170" w:rsidRPr="007C21A3" w:rsidRDefault="007C21A3" w:rsidP="00E257EE">
            <w:pPr>
              <w:jc w:val="both"/>
              <w:rPr>
                <w:rFonts w:ascii="Arial" w:hAnsi="Arial" w:cs="Arial"/>
                <w:sz w:val="24"/>
                <w:szCs w:val="24"/>
              </w:rPr>
            </w:pPr>
            <w:r w:rsidRPr="007C21A3">
              <w:rPr>
                <w:rFonts w:ascii="Arial" w:hAnsi="Arial" w:cs="Arial"/>
                <w:sz w:val="24"/>
                <w:szCs w:val="24"/>
              </w:rPr>
              <w:t>Approximately £5 million to £6 million per annum</w:t>
            </w:r>
          </w:p>
          <w:p w:rsidR="007E5170" w:rsidRPr="007C21A3" w:rsidRDefault="007C21A3" w:rsidP="00E257EE">
            <w:pPr>
              <w:jc w:val="both"/>
              <w:rPr>
                <w:rFonts w:ascii="Arial" w:hAnsi="Arial" w:cs="Arial"/>
                <w:sz w:val="24"/>
                <w:szCs w:val="24"/>
              </w:rPr>
            </w:pPr>
          </w:p>
          <w:p w:rsidR="007E5170" w:rsidRPr="007C21A3" w:rsidRDefault="007C21A3" w:rsidP="00E257EE">
            <w:pPr>
              <w:jc w:val="both"/>
              <w:rPr>
                <w:rFonts w:ascii="Arial" w:hAnsi="Arial" w:cs="Arial"/>
                <w:sz w:val="24"/>
                <w:szCs w:val="24"/>
              </w:rPr>
            </w:pPr>
            <w:r w:rsidRPr="007C21A3">
              <w:rPr>
                <w:rFonts w:ascii="Arial" w:hAnsi="Arial" w:cs="Arial"/>
                <w:sz w:val="24"/>
                <w:szCs w:val="24"/>
              </w:rPr>
              <w:t xml:space="preserve">Estimated Total Contract Value: £20 million to £24 </w:t>
            </w:r>
            <w:r w:rsidRPr="007C21A3">
              <w:rPr>
                <w:rFonts w:ascii="Arial" w:hAnsi="Arial" w:cs="Arial"/>
                <w:sz w:val="24"/>
                <w:szCs w:val="24"/>
              </w:rPr>
              <w:t>million</w:t>
            </w:r>
          </w:p>
          <w:p w:rsidR="007E5170" w:rsidRPr="007C21A3" w:rsidRDefault="007C21A3" w:rsidP="00E257EE">
            <w:pPr>
              <w:jc w:val="both"/>
              <w:rPr>
                <w:rFonts w:ascii="Arial" w:hAnsi="Arial" w:cs="Arial"/>
                <w:sz w:val="24"/>
                <w:szCs w:val="24"/>
              </w:rPr>
            </w:pPr>
          </w:p>
          <w:p w:rsidR="007E5170" w:rsidRPr="007C21A3" w:rsidRDefault="007C21A3" w:rsidP="00E257EE">
            <w:pPr>
              <w:jc w:val="both"/>
              <w:rPr>
                <w:rFonts w:ascii="Arial" w:hAnsi="Arial" w:cs="Arial"/>
                <w:sz w:val="24"/>
                <w:szCs w:val="24"/>
              </w:rPr>
            </w:pPr>
            <w:r w:rsidRPr="007C21A3">
              <w:rPr>
                <w:rFonts w:ascii="Arial" w:hAnsi="Arial" w:cs="Arial"/>
                <w:sz w:val="24"/>
                <w:szCs w:val="24"/>
              </w:rPr>
              <w:t xml:space="preserve">Approximately 85% - 90% will be funded by </w:t>
            </w:r>
            <w:r w:rsidRPr="007C21A3">
              <w:rPr>
                <w:rFonts w:ascii="Arial" w:hAnsi="Arial" w:cs="Arial"/>
                <w:sz w:val="24"/>
                <w:szCs w:val="24"/>
              </w:rPr>
              <w:t>Schools &amp; Residential Care Catering (Facilities Management</w:t>
            </w:r>
            <w:r w:rsidRPr="007C21A3">
              <w:rPr>
                <w:rFonts w:ascii="Arial" w:hAnsi="Arial" w:cs="Arial"/>
                <w:sz w:val="24"/>
                <w:szCs w:val="24"/>
              </w:rPr>
              <w:t>)</w:t>
            </w:r>
            <w:r w:rsidRPr="007C21A3">
              <w:rPr>
                <w:rFonts w:ascii="Arial" w:hAnsi="Arial" w:cs="Arial"/>
                <w:sz w:val="24"/>
                <w:szCs w:val="24"/>
              </w:rPr>
              <w:t>,</w:t>
            </w:r>
            <w:r w:rsidRPr="007C21A3">
              <w:rPr>
                <w:rFonts w:ascii="Arial" w:hAnsi="Arial" w:cs="Arial"/>
                <w:sz w:val="24"/>
                <w:szCs w:val="24"/>
              </w:rPr>
              <w:t xml:space="preserve"> 10% - 15% across the rest of the county council including</w:t>
            </w:r>
            <w:r w:rsidRPr="007C21A3">
              <w:rPr>
                <w:rFonts w:ascii="Arial" w:hAnsi="Arial" w:cs="Arial"/>
                <w:sz w:val="24"/>
                <w:szCs w:val="24"/>
              </w:rPr>
              <w:t>, but not limited to</w:t>
            </w:r>
            <w:r w:rsidRPr="007C21A3">
              <w:rPr>
                <w:rFonts w:ascii="Arial" w:hAnsi="Arial" w:cs="Arial"/>
                <w:sz w:val="24"/>
                <w:szCs w:val="24"/>
              </w:rPr>
              <w:t>: Facilities Management Services, CYP and ACS.</w:t>
            </w:r>
          </w:p>
          <w:p w:rsidR="007E5170" w:rsidRPr="007C21A3" w:rsidRDefault="007C21A3" w:rsidP="00E257EE">
            <w:pPr>
              <w:jc w:val="both"/>
              <w:rPr>
                <w:rFonts w:ascii="Arial" w:hAnsi="Arial" w:cs="Arial"/>
                <w:i/>
                <w:color w:val="FF0000"/>
                <w:sz w:val="24"/>
                <w:szCs w:val="24"/>
              </w:rPr>
            </w:pPr>
          </w:p>
        </w:tc>
      </w:tr>
      <w:tr w:rsidR="00BF1B0F" w:rsidTr="007C21A3">
        <w:trPr>
          <w:trHeight w:val="802"/>
        </w:trPr>
        <w:tc>
          <w:tcPr>
            <w:tcW w:w="9016" w:type="dxa"/>
          </w:tcPr>
          <w:p w:rsidR="007E5170" w:rsidRPr="007C21A3" w:rsidRDefault="007C21A3" w:rsidP="00E257EE">
            <w:pPr>
              <w:jc w:val="both"/>
              <w:rPr>
                <w:rFonts w:ascii="Arial" w:hAnsi="Arial" w:cs="Arial"/>
                <w:sz w:val="24"/>
                <w:szCs w:val="24"/>
              </w:rPr>
            </w:pPr>
            <w:r w:rsidRPr="007C21A3">
              <w:rPr>
                <w:rFonts w:ascii="Arial" w:hAnsi="Arial" w:cs="Arial"/>
                <w:b/>
                <w:sz w:val="24"/>
                <w:szCs w:val="24"/>
              </w:rPr>
              <w:t>Contract Duration</w:t>
            </w:r>
          </w:p>
          <w:p w:rsidR="007E5170" w:rsidRDefault="007C21A3" w:rsidP="00E257EE">
            <w:pPr>
              <w:jc w:val="both"/>
              <w:rPr>
                <w:rFonts w:ascii="Arial" w:hAnsi="Arial" w:cs="Arial"/>
                <w:sz w:val="24"/>
                <w:szCs w:val="24"/>
              </w:rPr>
            </w:pPr>
            <w:r w:rsidRPr="007C21A3">
              <w:rPr>
                <w:rFonts w:ascii="Arial" w:hAnsi="Arial" w:cs="Arial"/>
                <w:sz w:val="24"/>
                <w:szCs w:val="24"/>
              </w:rPr>
              <w:t>Initial period of 24 months with an option to extend the contract beyond the initial term,</w:t>
            </w:r>
            <w:r w:rsidRPr="007C21A3">
              <w:rPr>
                <w:rFonts w:ascii="Arial" w:hAnsi="Arial" w:cs="Arial"/>
                <w:sz w:val="24"/>
                <w:szCs w:val="24"/>
              </w:rPr>
              <w:t xml:space="preserve"> </w:t>
            </w:r>
            <w:r w:rsidRPr="007C21A3">
              <w:rPr>
                <w:rFonts w:ascii="Arial" w:hAnsi="Arial" w:cs="Arial"/>
                <w:sz w:val="24"/>
                <w:szCs w:val="24"/>
              </w:rPr>
              <w:t>by any number of agreed periods, to a</w:t>
            </w:r>
            <w:r>
              <w:rPr>
                <w:rFonts w:ascii="Arial" w:hAnsi="Arial" w:cs="Arial"/>
                <w:sz w:val="24"/>
                <w:szCs w:val="24"/>
              </w:rPr>
              <w:t xml:space="preserve"> maximum of a further 24 months.</w:t>
            </w:r>
          </w:p>
          <w:p w:rsidR="007C21A3" w:rsidRPr="007C21A3" w:rsidRDefault="007C21A3" w:rsidP="00E257EE">
            <w:pPr>
              <w:jc w:val="both"/>
              <w:rPr>
                <w:rFonts w:ascii="Arial" w:hAnsi="Arial" w:cs="Arial"/>
                <w:color w:val="FF0000"/>
                <w:sz w:val="24"/>
                <w:szCs w:val="24"/>
              </w:rPr>
            </w:pPr>
          </w:p>
        </w:tc>
      </w:tr>
      <w:tr w:rsidR="00BF1B0F" w:rsidTr="007C21A3">
        <w:trPr>
          <w:trHeight w:val="3959"/>
        </w:trPr>
        <w:tc>
          <w:tcPr>
            <w:tcW w:w="9016" w:type="dxa"/>
          </w:tcPr>
          <w:p w:rsidR="007E5170" w:rsidRPr="007C21A3" w:rsidRDefault="007C21A3" w:rsidP="00E257EE">
            <w:pPr>
              <w:jc w:val="both"/>
              <w:rPr>
                <w:rFonts w:ascii="Arial" w:hAnsi="Arial" w:cs="Arial"/>
                <w:b/>
                <w:sz w:val="24"/>
                <w:szCs w:val="24"/>
              </w:rPr>
            </w:pPr>
            <w:r w:rsidRPr="007C21A3">
              <w:rPr>
                <w:rFonts w:ascii="Arial" w:hAnsi="Arial" w:cs="Arial"/>
                <w:b/>
                <w:sz w:val="24"/>
                <w:szCs w:val="24"/>
              </w:rPr>
              <w:t>Lotting</w:t>
            </w:r>
          </w:p>
          <w:p w:rsidR="007E5170" w:rsidRPr="007C21A3" w:rsidRDefault="007C21A3" w:rsidP="00E257EE">
            <w:pPr>
              <w:jc w:val="both"/>
              <w:rPr>
                <w:rFonts w:ascii="Arial" w:hAnsi="Arial" w:cs="Arial"/>
                <w:sz w:val="24"/>
                <w:szCs w:val="24"/>
              </w:rPr>
            </w:pPr>
          </w:p>
          <w:tbl>
            <w:tblPr>
              <w:tblStyle w:val="TableGrid"/>
              <w:tblW w:w="0" w:type="auto"/>
              <w:tblLook w:val="04A0" w:firstRow="1" w:lastRow="0" w:firstColumn="1" w:lastColumn="0" w:noHBand="0" w:noVBand="1"/>
            </w:tblPr>
            <w:tblGrid>
              <w:gridCol w:w="2122"/>
              <w:gridCol w:w="6668"/>
            </w:tblGrid>
            <w:tr w:rsidR="00BF1B0F" w:rsidRPr="007C21A3" w:rsidTr="00E257EE">
              <w:tc>
                <w:tcPr>
                  <w:tcW w:w="2122"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Lot 1</w:t>
                  </w:r>
                </w:p>
              </w:tc>
              <w:tc>
                <w:tcPr>
                  <w:tcW w:w="6668"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Organic Goods, Bread Mixes and Gluten Free Mixes</w:t>
                  </w:r>
                </w:p>
              </w:tc>
            </w:tr>
            <w:tr w:rsidR="00BF1B0F" w:rsidRPr="007C21A3" w:rsidTr="00E257EE">
              <w:tc>
                <w:tcPr>
                  <w:tcW w:w="2122"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Lot 2</w:t>
                  </w:r>
                </w:p>
              </w:tc>
              <w:tc>
                <w:tcPr>
                  <w:tcW w:w="6668"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Tinned Tuna</w:t>
                  </w:r>
                </w:p>
              </w:tc>
            </w:tr>
            <w:tr w:rsidR="00BF1B0F" w:rsidRPr="007C21A3" w:rsidTr="00E257EE">
              <w:tc>
                <w:tcPr>
                  <w:tcW w:w="2122"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Lot 3</w:t>
                  </w:r>
                </w:p>
              </w:tc>
              <w:tc>
                <w:tcPr>
                  <w:tcW w:w="6668"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Baked Beans</w:t>
                  </w:r>
                </w:p>
              </w:tc>
            </w:tr>
            <w:tr w:rsidR="00BF1B0F" w:rsidRPr="007C21A3" w:rsidTr="00E257EE">
              <w:tc>
                <w:tcPr>
                  <w:tcW w:w="2122"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Lot 4</w:t>
                  </w:r>
                </w:p>
              </w:tc>
              <w:tc>
                <w:tcPr>
                  <w:tcW w:w="6668"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Tinned Tomatoes and Tomato Puree</w:t>
                  </w:r>
                </w:p>
              </w:tc>
            </w:tr>
            <w:tr w:rsidR="00BF1B0F" w:rsidRPr="007C21A3" w:rsidTr="00E257EE">
              <w:tc>
                <w:tcPr>
                  <w:tcW w:w="2122"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Lot 5</w:t>
                  </w:r>
                </w:p>
              </w:tc>
              <w:tc>
                <w:tcPr>
                  <w:tcW w:w="6668"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Butter and Margarine</w:t>
                  </w:r>
                </w:p>
              </w:tc>
            </w:tr>
            <w:tr w:rsidR="00BF1B0F" w:rsidRPr="007C21A3" w:rsidTr="00E257EE">
              <w:tc>
                <w:tcPr>
                  <w:tcW w:w="2122"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Lot 6</w:t>
                  </w:r>
                </w:p>
              </w:tc>
              <w:tc>
                <w:tcPr>
                  <w:tcW w:w="6668"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 xml:space="preserve">Frozen White Fish </w:t>
                  </w:r>
                </w:p>
              </w:tc>
            </w:tr>
            <w:tr w:rsidR="00BF1B0F" w:rsidRPr="007C21A3" w:rsidTr="00E257EE">
              <w:tc>
                <w:tcPr>
                  <w:tcW w:w="2122"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Lot 7</w:t>
                  </w:r>
                </w:p>
              </w:tc>
              <w:tc>
                <w:tcPr>
                  <w:tcW w:w="6668"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Frozen Potatoes and Vegetables</w:t>
                  </w:r>
                </w:p>
              </w:tc>
            </w:tr>
            <w:tr w:rsidR="00BF1B0F" w:rsidRPr="007C21A3" w:rsidTr="00E257EE">
              <w:tc>
                <w:tcPr>
                  <w:tcW w:w="2122"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Lot 8</w:t>
                  </w:r>
                </w:p>
              </w:tc>
              <w:tc>
                <w:tcPr>
                  <w:tcW w:w="6668"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Soft Drinks and Confectionery</w:t>
                  </w:r>
                </w:p>
              </w:tc>
            </w:tr>
            <w:tr w:rsidR="00BF1B0F" w:rsidRPr="007C21A3" w:rsidTr="00E257EE">
              <w:tc>
                <w:tcPr>
                  <w:tcW w:w="2122"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Lot 9</w:t>
                  </w:r>
                </w:p>
              </w:tc>
              <w:tc>
                <w:tcPr>
                  <w:tcW w:w="6668"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Miscellaneous Groceries</w:t>
                  </w:r>
                </w:p>
              </w:tc>
            </w:tr>
            <w:tr w:rsidR="00BF1B0F" w:rsidRPr="007C21A3" w:rsidTr="00E257EE">
              <w:tc>
                <w:tcPr>
                  <w:tcW w:w="2122"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Lot 10</w:t>
                  </w:r>
                </w:p>
              </w:tc>
              <w:tc>
                <w:tcPr>
                  <w:tcW w:w="6668" w:type="dxa"/>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sz w:val="24"/>
                      <w:szCs w:val="24"/>
                    </w:rPr>
                    <w:t>Miscellaneous Frozen Food</w:t>
                  </w:r>
                </w:p>
              </w:tc>
            </w:tr>
          </w:tbl>
          <w:p w:rsidR="007E5170" w:rsidRPr="007C21A3" w:rsidRDefault="007C21A3" w:rsidP="00E257EE">
            <w:pPr>
              <w:jc w:val="both"/>
              <w:rPr>
                <w:rFonts w:ascii="Arial" w:hAnsi="Arial" w:cs="Arial"/>
                <w:sz w:val="24"/>
                <w:szCs w:val="24"/>
              </w:rPr>
            </w:pPr>
          </w:p>
        </w:tc>
      </w:tr>
      <w:tr w:rsidR="00BF1B0F" w:rsidTr="007C21A3">
        <w:trPr>
          <w:trHeight w:val="1322"/>
        </w:trPr>
        <w:tc>
          <w:tcPr>
            <w:tcW w:w="9016" w:type="dxa"/>
            <w:vAlign w:val="center"/>
          </w:tcPr>
          <w:p w:rsidR="007E5170" w:rsidRPr="007C21A3" w:rsidRDefault="007C21A3" w:rsidP="00E257EE">
            <w:pPr>
              <w:jc w:val="both"/>
              <w:rPr>
                <w:rFonts w:ascii="Arial" w:hAnsi="Arial" w:cs="Arial"/>
                <w:b/>
                <w:sz w:val="24"/>
                <w:szCs w:val="24"/>
              </w:rPr>
            </w:pPr>
          </w:p>
          <w:p w:rsidR="007E5170" w:rsidRPr="007C21A3" w:rsidRDefault="007C21A3" w:rsidP="00E257EE">
            <w:pPr>
              <w:jc w:val="both"/>
              <w:rPr>
                <w:rFonts w:ascii="Arial" w:hAnsi="Arial" w:cs="Arial"/>
                <w:b/>
                <w:sz w:val="24"/>
                <w:szCs w:val="24"/>
              </w:rPr>
            </w:pPr>
            <w:r w:rsidRPr="007C21A3">
              <w:rPr>
                <w:rFonts w:ascii="Arial" w:hAnsi="Arial" w:cs="Arial"/>
                <w:b/>
                <w:sz w:val="24"/>
                <w:szCs w:val="24"/>
              </w:rPr>
              <w:t>Evaluation</w:t>
            </w:r>
            <w:r w:rsidRPr="007C21A3">
              <w:rPr>
                <w:rFonts w:ascii="Arial" w:hAnsi="Arial" w:cs="Arial"/>
                <w:b/>
                <w:sz w:val="24"/>
                <w:szCs w:val="24"/>
              </w:rPr>
              <w:t xml:space="preserve"> – Applicable to each Lot</w:t>
            </w:r>
          </w:p>
          <w:p w:rsidR="007E5170" w:rsidRPr="007C21A3" w:rsidRDefault="007C21A3" w:rsidP="00E257EE">
            <w:pPr>
              <w:jc w:val="both"/>
              <w:rPr>
                <w:rFonts w:ascii="Arial" w:hAnsi="Arial" w:cs="Arial"/>
                <w:b/>
                <w:sz w:val="24"/>
                <w:szCs w:val="24"/>
              </w:rPr>
            </w:pPr>
          </w:p>
          <w:tbl>
            <w:tblPr>
              <w:tblStyle w:val="TableGrid"/>
              <w:tblW w:w="0" w:type="auto"/>
              <w:tblLook w:val="04A0" w:firstRow="1" w:lastRow="0" w:firstColumn="1" w:lastColumn="0" w:noHBand="0" w:noVBand="1"/>
            </w:tblPr>
            <w:tblGrid>
              <w:gridCol w:w="2972"/>
              <w:gridCol w:w="3063"/>
            </w:tblGrid>
            <w:tr w:rsidR="00BF1B0F" w:rsidRPr="007C21A3" w:rsidTr="00E257EE">
              <w:trPr>
                <w:trHeight w:val="401"/>
              </w:trPr>
              <w:tc>
                <w:tcPr>
                  <w:tcW w:w="2972" w:type="dxa"/>
                  <w:vAlign w:val="center"/>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b/>
                      <w:bCs/>
                      <w:sz w:val="24"/>
                      <w:szCs w:val="24"/>
                    </w:rPr>
                    <w:t xml:space="preserve">Quality </w:t>
                  </w:r>
                  <w:r w:rsidRPr="007C21A3">
                    <w:rPr>
                      <w:rFonts w:ascii="Arial" w:hAnsi="Arial" w:cs="Arial"/>
                      <w:b/>
                      <w:bCs/>
                      <w:sz w:val="24"/>
                      <w:szCs w:val="24"/>
                    </w:rPr>
                    <w:t>Criteria 40</w:t>
                  </w:r>
                  <w:r w:rsidRPr="007C21A3">
                    <w:rPr>
                      <w:rFonts w:ascii="Arial" w:hAnsi="Arial" w:cs="Arial"/>
                      <w:b/>
                      <w:bCs/>
                      <w:sz w:val="24"/>
                      <w:szCs w:val="24"/>
                    </w:rPr>
                    <w:t>%</w:t>
                  </w:r>
                </w:p>
              </w:tc>
              <w:tc>
                <w:tcPr>
                  <w:tcW w:w="3063" w:type="dxa"/>
                  <w:vAlign w:val="center"/>
                </w:tcPr>
                <w:p w:rsidR="007E5170" w:rsidRPr="007C21A3" w:rsidRDefault="007C21A3" w:rsidP="007C21A3">
                  <w:pPr>
                    <w:framePr w:hSpace="180" w:wrap="around" w:vAnchor="page" w:hAnchor="margin" w:y="1613"/>
                    <w:jc w:val="both"/>
                    <w:rPr>
                      <w:rFonts w:ascii="Arial" w:hAnsi="Arial" w:cs="Arial"/>
                      <w:sz w:val="24"/>
                      <w:szCs w:val="24"/>
                    </w:rPr>
                  </w:pPr>
                  <w:r w:rsidRPr="007C21A3">
                    <w:rPr>
                      <w:rFonts w:ascii="Arial" w:hAnsi="Arial" w:cs="Arial"/>
                      <w:b/>
                      <w:bCs/>
                      <w:sz w:val="24"/>
                      <w:szCs w:val="24"/>
                    </w:rPr>
                    <w:t>Financial Criteria 60</w:t>
                  </w:r>
                  <w:r w:rsidRPr="007C21A3">
                    <w:rPr>
                      <w:rFonts w:ascii="Arial" w:hAnsi="Arial" w:cs="Arial"/>
                      <w:b/>
                      <w:bCs/>
                      <w:sz w:val="24"/>
                      <w:szCs w:val="24"/>
                    </w:rPr>
                    <w:t>%</w:t>
                  </w:r>
                </w:p>
              </w:tc>
            </w:tr>
          </w:tbl>
          <w:p w:rsidR="007E5170" w:rsidRPr="007C21A3" w:rsidRDefault="007C21A3" w:rsidP="00E257EE">
            <w:pPr>
              <w:jc w:val="both"/>
              <w:rPr>
                <w:rFonts w:ascii="Arial" w:hAnsi="Arial" w:cs="Arial"/>
                <w:sz w:val="24"/>
                <w:szCs w:val="24"/>
              </w:rPr>
            </w:pPr>
          </w:p>
          <w:p w:rsidR="007E5170" w:rsidRPr="007C21A3" w:rsidRDefault="007C21A3" w:rsidP="00E257EE">
            <w:pPr>
              <w:jc w:val="both"/>
              <w:rPr>
                <w:rFonts w:ascii="Arial" w:hAnsi="Arial" w:cs="Arial"/>
                <w:sz w:val="24"/>
                <w:szCs w:val="24"/>
              </w:rPr>
            </w:pPr>
            <w:r w:rsidRPr="007C21A3">
              <w:rPr>
                <w:rFonts w:ascii="Arial" w:hAnsi="Arial" w:cs="Arial"/>
                <w:sz w:val="24"/>
                <w:szCs w:val="24"/>
              </w:rPr>
              <w:lastRenderedPageBreak/>
              <w:t xml:space="preserve">Social </w:t>
            </w:r>
            <w:r w:rsidRPr="007C21A3">
              <w:rPr>
                <w:rFonts w:ascii="Arial" w:hAnsi="Arial" w:cs="Arial"/>
                <w:sz w:val="24"/>
                <w:szCs w:val="24"/>
              </w:rPr>
              <w:t>V</w:t>
            </w:r>
            <w:r w:rsidRPr="007C21A3">
              <w:rPr>
                <w:rFonts w:ascii="Arial" w:hAnsi="Arial" w:cs="Arial"/>
                <w:sz w:val="24"/>
                <w:szCs w:val="24"/>
              </w:rPr>
              <w:t>alue will account for 10% of the quality criteria focusing on environmental sustainability, supporting themed events in schools, promoting healthy eating in schools,</w:t>
            </w:r>
            <w:r w:rsidRPr="007C21A3">
              <w:rPr>
                <w:rFonts w:ascii="Arial" w:hAnsi="Arial" w:cs="Arial"/>
                <w:sz w:val="24"/>
                <w:szCs w:val="24"/>
              </w:rPr>
              <w:t xml:space="preserve"> and promoting training and employment opportunities for the people of Lancashire</w:t>
            </w:r>
            <w:r w:rsidRPr="007C21A3">
              <w:rPr>
                <w:rFonts w:ascii="Arial" w:hAnsi="Arial" w:cs="Arial"/>
                <w:sz w:val="24"/>
                <w:szCs w:val="24"/>
              </w:rPr>
              <w:t>, particularly, those from vulnerable groups i.e. looked after children.</w:t>
            </w:r>
          </w:p>
          <w:p w:rsidR="007E5170" w:rsidRPr="007C21A3" w:rsidRDefault="007C21A3" w:rsidP="00E257EE">
            <w:pPr>
              <w:jc w:val="both"/>
              <w:rPr>
                <w:rFonts w:ascii="Arial" w:hAnsi="Arial" w:cs="Arial"/>
                <w:sz w:val="24"/>
                <w:szCs w:val="24"/>
              </w:rPr>
            </w:pPr>
          </w:p>
          <w:p w:rsidR="007E5170" w:rsidRPr="007C21A3" w:rsidRDefault="007C21A3" w:rsidP="00E257EE">
            <w:pPr>
              <w:jc w:val="both"/>
              <w:rPr>
                <w:rFonts w:ascii="Arial" w:hAnsi="Arial" w:cs="Arial"/>
                <w:sz w:val="24"/>
                <w:szCs w:val="24"/>
              </w:rPr>
            </w:pPr>
            <w:r w:rsidRPr="007C21A3">
              <w:rPr>
                <w:rFonts w:ascii="Arial" w:hAnsi="Arial" w:cs="Arial"/>
                <w:sz w:val="24"/>
                <w:szCs w:val="24"/>
              </w:rPr>
              <w:t xml:space="preserve">The procurement strategy will also take into consideration supplier procedures and contingency plans </w:t>
            </w:r>
            <w:r w:rsidRPr="007C21A3">
              <w:rPr>
                <w:rFonts w:ascii="Arial" w:hAnsi="Arial" w:cs="Arial"/>
                <w:sz w:val="24"/>
                <w:szCs w:val="24"/>
              </w:rPr>
              <w:t>in the event of a localised spike in Covid-19 cases throughout Lancashire to try and anticipate and prevent service disruption, wherever feasible.</w:t>
            </w:r>
          </w:p>
          <w:p w:rsidR="007E5170" w:rsidRPr="007C21A3" w:rsidRDefault="007C21A3" w:rsidP="00E257EE">
            <w:pPr>
              <w:jc w:val="both"/>
              <w:rPr>
                <w:rFonts w:ascii="Arial" w:hAnsi="Arial" w:cs="Arial"/>
                <w:i/>
                <w:color w:val="FF0000"/>
                <w:sz w:val="24"/>
                <w:szCs w:val="24"/>
              </w:rPr>
            </w:pPr>
          </w:p>
        </w:tc>
      </w:tr>
      <w:tr w:rsidR="00BF1B0F" w:rsidTr="007C21A3">
        <w:trPr>
          <w:trHeight w:val="558"/>
        </w:trPr>
        <w:tc>
          <w:tcPr>
            <w:tcW w:w="9016" w:type="dxa"/>
          </w:tcPr>
          <w:p w:rsidR="007E5170" w:rsidRPr="007C21A3" w:rsidRDefault="007C21A3" w:rsidP="00E257EE">
            <w:pPr>
              <w:jc w:val="both"/>
              <w:rPr>
                <w:rFonts w:ascii="Arial" w:hAnsi="Arial" w:cs="Arial"/>
                <w:sz w:val="24"/>
                <w:szCs w:val="24"/>
              </w:rPr>
            </w:pPr>
            <w:r w:rsidRPr="007C21A3">
              <w:rPr>
                <w:rFonts w:ascii="Arial" w:hAnsi="Arial" w:cs="Arial"/>
                <w:b/>
                <w:sz w:val="24"/>
                <w:szCs w:val="24"/>
              </w:rPr>
              <w:lastRenderedPageBreak/>
              <w:t>Contract Detail</w:t>
            </w:r>
          </w:p>
          <w:p w:rsidR="007E5170" w:rsidRPr="007C21A3" w:rsidRDefault="007C21A3" w:rsidP="00E257EE">
            <w:pPr>
              <w:jc w:val="both"/>
              <w:rPr>
                <w:rFonts w:ascii="Arial" w:hAnsi="Arial" w:cs="Arial"/>
                <w:sz w:val="24"/>
                <w:szCs w:val="24"/>
              </w:rPr>
            </w:pPr>
            <w:r w:rsidRPr="007C21A3">
              <w:rPr>
                <w:rFonts w:ascii="Arial" w:hAnsi="Arial" w:cs="Arial"/>
                <w:sz w:val="24"/>
                <w:szCs w:val="24"/>
              </w:rPr>
              <w:t>The current contracts for groceries, frozen foods and soft drinks (product groups detail</w:t>
            </w:r>
            <w:r w:rsidRPr="007C21A3">
              <w:rPr>
                <w:rFonts w:ascii="Arial" w:hAnsi="Arial" w:cs="Arial"/>
                <w:sz w:val="24"/>
                <w:szCs w:val="24"/>
              </w:rPr>
              <w:t>ed within the Lotting section of this report) have been in place since 1</w:t>
            </w:r>
            <w:r w:rsidRPr="007C21A3">
              <w:rPr>
                <w:rFonts w:ascii="Arial" w:hAnsi="Arial" w:cs="Arial"/>
                <w:sz w:val="24"/>
                <w:szCs w:val="24"/>
                <w:vertAlign w:val="superscript"/>
              </w:rPr>
              <w:t>st</w:t>
            </w:r>
            <w:r w:rsidRPr="007C21A3">
              <w:rPr>
                <w:rFonts w:ascii="Arial" w:hAnsi="Arial" w:cs="Arial"/>
                <w:sz w:val="24"/>
                <w:szCs w:val="24"/>
              </w:rPr>
              <w:t xml:space="preserve"> October 2017 and are due to expire on the 31</w:t>
            </w:r>
            <w:r w:rsidRPr="007C21A3">
              <w:rPr>
                <w:rFonts w:ascii="Arial" w:hAnsi="Arial" w:cs="Arial"/>
                <w:sz w:val="24"/>
                <w:szCs w:val="24"/>
                <w:vertAlign w:val="superscript"/>
              </w:rPr>
              <w:t>st</w:t>
            </w:r>
            <w:r w:rsidRPr="007C21A3">
              <w:rPr>
                <w:rFonts w:ascii="Arial" w:hAnsi="Arial" w:cs="Arial"/>
                <w:sz w:val="24"/>
                <w:szCs w:val="24"/>
              </w:rPr>
              <w:t xml:space="preserve"> March 2021. </w:t>
            </w:r>
          </w:p>
          <w:p w:rsidR="007E5170" w:rsidRPr="007C21A3" w:rsidRDefault="007C21A3" w:rsidP="00E257EE">
            <w:pPr>
              <w:jc w:val="both"/>
              <w:rPr>
                <w:rFonts w:ascii="Arial" w:hAnsi="Arial" w:cs="Arial"/>
                <w:sz w:val="24"/>
                <w:szCs w:val="24"/>
                <w:u w:val="single"/>
              </w:rPr>
            </w:pPr>
          </w:p>
          <w:p w:rsidR="007E5170" w:rsidRPr="007C21A3" w:rsidRDefault="007C21A3" w:rsidP="00E257EE">
            <w:pPr>
              <w:jc w:val="both"/>
              <w:rPr>
                <w:rFonts w:ascii="Arial" w:hAnsi="Arial" w:cs="Arial"/>
                <w:sz w:val="24"/>
                <w:szCs w:val="24"/>
              </w:rPr>
            </w:pPr>
            <w:r w:rsidRPr="007C21A3">
              <w:rPr>
                <w:rFonts w:ascii="Arial" w:hAnsi="Arial" w:cs="Arial"/>
                <w:sz w:val="24"/>
                <w:szCs w:val="24"/>
              </w:rPr>
              <w:t xml:space="preserve">In September 2018, Cabinet approved the commencement of a procurement exercise to identify a single provider to operate </w:t>
            </w:r>
            <w:r w:rsidRPr="007C21A3">
              <w:rPr>
                <w:rFonts w:ascii="Arial" w:hAnsi="Arial" w:cs="Arial"/>
                <w:sz w:val="24"/>
                <w:szCs w:val="24"/>
              </w:rPr>
              <w:t>a food distribution network (including supply of Fresh Fruit and Vegetables). The contract commenced on the 1</w:t>
            </w:r>
            <w:r w:rsidRPr="007C21A3">
              <w:rPr>
                <w:rFonts w:ascii="Arial" w:hAnsi="Arial" w:cs="Arial"/>
                <w:sz w:val="24"/>
                <w:szCs w:val="24"/>
                <w:vertAlign w:val="superscript"/>
              </w:rPr>
              <w:t>st</w:t>
            </w:r>
            <w:r w:rsidRPr="007C21A3">
              <w:rPr>
                <w:rFonts w:ascii="Arial" w:hAnsi="Arial" w:cs="Arial"/>
                <w:sz w:val="24"/>
                <w:szCs w:val="24"/>
              </w:rPr>
              <w:t xml:space="preserve"> May 2019. Further to this, separate report(s) are to be submitted outlining the procurement approach for the supply of individual food contracts</w:t>
            </w:r>
            <w:r w:rsidRPr="007C21A3">
              <w:rPr>
                <w:rFonts w:ascii="Arial" w:hAnsi="Arial" w:cs="Arial"/>
                <w:sz w:val="24"/>
                <w:szCs w:val="24"/>
              </w:rPr>
              <w:t xml:space="preserve"> into the nominated distributor as and when required.  </w:t>
            </w:r>
          </w:p>
          <w:p w:rsidR="007E5170" w:rsidRPr="007C21A3" w:rsidRDefault="007C21A3" w:rsidP="00E257EE">
            <w:pPr>
              <w:jc w:val="both"/>
              <w:rPr>
                <w:rFonts w:ascii="Arial" w:hAnsi="Arial" w:cs="Arial"/>
                <w:sz w:val="24"/>
                <w:szCs w:val="24"/>
              </w:rPr>
            </w:pPr>
          </w:p>
          <w:p w:rsidR="007E5170" w:rsidRPr="007C21A3" w:rsidRDefault="007C21A3" w:rsidP="00E257EE">
            <w:pPr>
              <w:jc w:val="both"/>
              <w:rPr>
                <w:rFonts w:ascii="Arial" w:hAnsi="Arial" w:cs="Arial"/>
                <w:sz w:val="24"/>
                <w:szCs w:val="24"/>
              </w:rPr>
            </w:pPr>
            <w:r w:rsidRPr="007C21A3">
              <w:rPr>
                <w:rFonts w:ascii="Arial" w:hAnsi="Arial" w:cs="Arial"/>
                <w:sz w:val="24"/>
                <w:szCs w:val="24"/>
              </w:rPr>
              <w:t>The successful supplier for each individual Lot will be responsible for the supply only of the product groups listed within this report, into the council's nominated distributor. These supply contrac</w:t>
            </w:r>
            <w:r w:rsidRPr="007C21A3">
              <w:rPr>
                <w:rFonts w:ascii="Arial" w:hAnsi="Arial" w:cs="Arial"/>
                <w:sz w:val="24"/>
                <w:szCs w:val="24"/>
              </w:rPr>
              <w:t>ts will then commence on 1</w:t>
            </w:r>
            <w:r w:rsidRPr="007C21A3">
              <w:rPr>
                <w:rFonts w:ascii="Arial" w:hAnsi="Arial" w:cs="Arial"/>
                <w:sz w:val="24"/>
                <w:szCs w:val="24"/>
                <w:vertAlign w:val="superscript"/>
              </w:rPr>
              <w:t>st</w:t>
            </w:r>
            <w:r w:rsidRPr="007C21A3">
              <w:rPr>
                <w:rFonts w:ascii="Arial" w:hAnsi="Arial" w:cs="Arial"/>
                <w:sz w:val="24"/>
                <w:szCs w:val="24"/>
              </w:rPr>
              <w:t xml:space="preserve"> April 2021.  The nominated distributor will deliver these products to over 550 council units, the majority of these being schools and colleges.</w:t>
            </w:r>
          </w:p>
          <w:p w:rsidR="007E5170" w:rsidRPr="007C21A3" w:rsidRDefault="007C21A3" w:rsidP="00E257EE">
            <w:pPr>
              <w:jc w:val="both"/>
              <w:rPr>
                <w:rFonts w:ascii="Arial" w:hAnsi="Arial" w:cs="Arial"/>
                <w:sz w:val="24"/>
                <w:szCs w:val="24"/>
              </w:rPr>
            </w:pPr>
          </w:p>
          <w:p w:rsidR="007E5170" w:rsidRPr="007C21A3" w:rsidRDefault="007C21A3" w:rsidP="00E257EE">
            <w:pPr>
              <w:jc w:val="both"/>
              <w:rPr>
                <w:rFonts w:ascii="Arial" w:hAnsi="Arial" w:cs="Arial"/>
                <w:sz w:val="24"/>
                <w:szCs w:val="24"/>
              </w:rPr>
            </w:pPr>
            <w:r w:rsidRPr="007C21A3">
              <w:rPr>
                <w:rFonts w:ascii="Arial" w:hAnsi="Arial" w:cs="Arial"/>
                <w:sz w:val="24"/>
                <w:szCs w:val="24"/>
              </w:rPr>
              <w:t>The aim of this strategy is to encourage bids from local SME's that do not have th</w:t>
            </w:r>
            <w:r w:rsidRPr="007C21A3">
              <w:rPr>
                <w:rFonts w:ascii="Arial" w:hAnsi="Arial" w:cs="Arial"/>
                <w:sz w:val="24"/>
                <w:szCs w:val="24"/>
              </w:rPr>
              <w:t>e infrastructure to distribute their products to the number of units stated above and at the frequency required, across the entire Lancashire region.</w:t>
            </w:r>
          </w:p>
          <w:p w:rsidR="007E5170" w:rsidRPr="007C21A3" w:rsidRDefault="007C21A3" w:rsidP="00E257EE">
            <w:pPr>
              <w:jc w:val="both"/>
              <w:rPr>
                <w:rFonts w:ascii="Arial" w:hAnsi="Arial" w:cs="Arial"/>
                <w:sz w:val="24"/>
                <w:szCs w:val="24"/>
              </w:rPr>
            </w:pPr>
          </w:p>
          <w:p w:rsidR="007E5170" w:rsidRPr="007C21A3" w:rsidRDefault="007C21A3" w:rsidP="00E257EE">
            <w:pPr>
              <w:jc w:val="both"/>
              <w:rPr>
                <w:rFonts w:ascii="Arial" w:hAnsi="Arial" w:cs="Arial"/>
                <w:sz w:val="24"/>
                <w:szCs w:val="24"/>
              </w:rPr>
            </w:pPr>
            <w:r w:rsidRPr="007C21A3">
              <w:rPr>
                <w:rFonts w:ascii="Arial" w:hAnsi="Arial" w:cs="Arial"/>
                <w:sz w:val="24"/>
                <w:szCs w:val="24"/>
              </w:rPr>
              <w:t xml:space="preserve">There are no restrictions for the number of Lots suppliers can bid for and subsequently no restrictions </w:t>
            </w:r>
            <w:r w:rsidRPr="007C21A3">
              <w:rPr>
                <w:rFonts w:ascii="Arial" w:hAnsi="Arial" w:cs="Arial"/>
                <w:sz w:val="24"/>
                <w:szCs w:val="24"/>
              </w:rPr>
              <w:t>for the number lots that can be awarded to any individual supplier.</w:t>
            </w:r>
          </w:p>
          <w:p w:rsidR="007E5170" w:rsidRPr="007C21A3" w:rsidRDefault="007C21A3" w:rsidP="00E257EE">
            <w:pPr>
              <w:jc w:val="both"/>
              <w:rPr>
                <w:rFonts w:ascii="Arial" w:hAnsi="Arial" w:cs="Arial"/>
                <w:i/>
                <w:color w:val="FF0000"/>
                <w:sz w:val="24"/>
                <w:szCs w:val="24"/>
              </w:rPr>
            </w:pPr>
            <w:r w:rsidRPr="007C21A3">
              <w:rPr>
                <w:rFonts w:ascii="Arial" w:hAnsi="Arial" w:cs="Arial"/>
                <w:i/>
                <w:color w:val="FF0000"/>
                <w:sz w:val="24"/>
                <w:szCs w:val="24"/>
              </w:rPr>
              <w:t xml:space="preserve">  </w:t>
            </w:r>
          </w:p>
          <w:p w:rsidR="007E5170" w:rsidRPr="007C21A3" w:rsidRDefault="007C21A3" w:rsidP="00E257EE">
            <w:pPr>
              <w:jc w:val="both"/>
              <w:rPr>
                <w:rFonts w:ascii="Arial" w:hAnsi="Arial" w:cs="Arial"/>
                <w:sz w:val="24"/>
                <w:szCs w:val="24"/>
              </w:rPr>
            </w:pPr>
            <w:r w:rsidRPr="007C21A3">
              <w:rPr>
                <w:rFonts w:ascii="Arial" w:hAnsi="Arial" w:cs="Arial"/>
                <w:sz w:val="24"/>
                <w:szCs w:val="24"/>
                <w:u w:val="single"/>
              </w:rPr>
              <w:t>EVALUATION</w:t>
            </w:r>
          </w:p>
          <w:p w:rsidR="007E5170" w:rsidRPr="007C21A3" w:rsidRDefault="007C21A3" w:rsidP="00E257EE">
            <w:pPr>
              <w:jc w:val="both"/>
              <w:rPr>
                <w:rFonts w:ascii="Arial" w:hAnsi="Arial" w:cs="Arial"/>
                <w:sz w:val="24"/>
                <w:szCs w:val="24"/>
              </w:rPr>
            </w:pPr>
            <w:r w:rsidRPr="007C21A3">
              <w:rPr>
                <w:rFonts w:ascii="Arial" w:hAnsi="Arial" w:cs="Arial"/>
                <w:sz w:val="24"/>
                <w:szCs w:val="24"/>
              </w:rPr>
              <w:t xml:space="preserve">The </w:t>
            </w:r>
            <w:r w:rsidRPr="007C21A3">
              <w:rPr>
                <w:rFonts w:ascii="Arial" w:hAnsi="Arial" w:cs="Arial"/>
                <w:sz w:val="24"/>
                <w:szCs w:val="24"/>
              </w:rPr>
              <w:t>evaluation</w:t>
            </w:r>
            <w:r w:rsidRPr="007C21A3">
              <w:rPr>
                <w:rFonts w:ascii="Arial" w:hAnsi="Arial" w:cs="Arial"/>
                <w:sz w:val="24"/>
                <w:szCs w:val="24"/>
              </w:rPr>
              <w:t xml:space="preserve"> procedure will place </w:t>
            </w:r>
            <w:r w:rsidRPr="007C21A3">
              <w:rPr>
                <w:rFonts w:ascii="Arial" w:hAnsi="Arial" w:cs="Arial"/>
                <w:sz w:val="24"/>
                <w:szCs w:val="24"/>
              </w:rPr>
              <w:t>emphasis</w:t>
            </w:r>
            <w:r w:rsidRPr="007C21A3">
              <w:rPr>
                <w:rFonts w:ascii="Arial" w:hAnsi="Arial" w:cs="Arial"/>
                <w:sz w:val="24"/>
                <w:szCs w:val="24"/>
              </w:rPr>
              <w:t xml:space="preserve"> on quality in terms of contract service and product </w:t>
            </w:r>
            <w:r w:rsidRPr="007C21A3">
              <w:rPr>
                <w:rFonts w:ascii="Arial" w:hAnsi="Arial" w:cs="Arial"/>
                <w:sz w:val="24"/>
                <w:szCs w:val="24"/>
              </w:rPr>
              <w:t xml:space="preserve">offering, </w:t>
            </w:r>
            <w:r w:rsidRPr="007C21A3">
              <w:rPr>
                <w:rFonts w:ascii="Arial" w:hAnsi="Arial" w:cs="Arial"/>
                <w:sz w:val="24"/>
                <w:szCs w:val="24"/>
              </w:rPr>
              <w:t xml:space="preserve">which aims to </w:t>
            </w:r>
            <w:r w:rsidRPr="007C21A3">
              <w:rPr>
                <w:rFonts w:ascii="Arial" w:hAnsi="Arial" w:cs="Arial"/>
                <w:sz w:val="24"/>
                <w:szCs w:val="24"/>
              </w:rPr>
              <w:t xml:space="preserve"> support </w:t>
            </w:r>
            <w:r w:rsidRPr="007C21A3">
              <w:rPr>
                <w:rFonts w:ascii="Arial" w:hAnsi="Arial" w:cs="Arial"/>
                <w:sz w:val="24"/>
                <w:szCs w:val="24"/>
              </w:rPr>
              <w:t xml:space="preserve"> the county council's</w:t>
            </w:r>
            <w:r w:rsidRPr="007C21A3">
              <w:rPr>
                <w:rFonts w:ascii="Arial" w:hAnsi="Arial" w:cs="Arial"/>
                <w:sz w:val="24"/>
                <w:szCs w:val="24"/>
              </w:rPr>
              <w:t xml:space="preserve"> catering services</w:t>
            </w:r>
            <w:r w:rsidRPr="007C21A3">
              <w:rPr>
                <w:rFonts w:ascii="Arial" w:hAnsi="Arial" w:cs="Arial"/>
                <w:sz w:val="24"/>
                <w:szCs w:val="24"/>
              </w:rPr>
              <w:t xml:space="preserve"> key </w:t>
            </w:r>
            <w:r w:rsidRPr="007C21A3">
              <w:rPr>
                <w:rFonts w:ascii="Arial" w:hAnsi="Arial" w:cs="Arial"/>
                <w:sz w:val="24"/>
                <w:szCs w:val="24"/>
              </w:rPr>
              <w:t xml:space="preserve">developments </w:t>
            </w:r>
            <w:r w:rsidRPr="007C21A3">
              <w:rPr>
                <w:rFonts w:ascii="Arial" w:hAnsi="Arial" w:cs="Arial"/>
                <w:sz w:val="24"/>
                <w:szCs w:val="24"/>
              </w:rPr>
              <w:t>and</w:t>
            </w:r>
            <w:r w:rsidRPr="007C21A3">
              <w:rPr>
                <w:rFonts w:ascii="Arial" w:hAnsi="Arial" w:cs="Arial"/>
                <w:sz w:val="24"/>
                <w:szCs w:val="24"/>
              </w:rPr>
              <w:t xml:space="preserve"> priorities</w:t>
            </w:r>
            <w:r w:rsidRPr="007C21A3">
              <w:rPr>
                <w:rFonts w:ascii="Arial" w:hAnsi="Arial" w:cs="Arial"/>
                <w:sz w:val="24"/>
                <w:szCs w:val="24"/>
              </w:rPr>
              <w:t>,</w:t>
            </w:r>
            <w:r w:rsidRPr="007C21A3">
              <w:rPr>
                <w:rFonts w:ascii="Arial" w:hAnsi="Arial" w:cs="Arial"/>
                <w:sz w:val="24"/>
                <w:szCs w:val="24"/>
              </w:rPr>
              <w:t xml:space="preserve"> including:</w:t>
            </w:r>
          </w:p>
          <w:p w:rsidR="007E5170" w:rsidRPr="007C21A3" w:rsidRDefault="007C21A3" w:rsidP="00E257EE">
            <w:pPr>
              <w:jc w:val="both"/>
              <w:rPr>
                <w:rFonts w:ascii="Arial" w:hAnsi="Arial" w:cs="Arial"/>
                <w:sz w:val="24"/>
                <w:szCs w:val="24"/>
              </w:rPr>
            </w:pPr>
          </w:p>
          <w:p w:rsidR="007E5170" w:rsidRPr="007C21A3" w:rsidRDefault="007C21A3" w:rsidP="00E257EE">
            <w:pPr>
              <w:pStyle w:val="ListParagraph"/>
              <w:numPr>
                <w:ilvl w:val="0"/>
                <w:numId w:val="1"/>
              </w:numPr>
              <w:jc w:val="both"/>
              <w:rPr>
                <w:rFonts w:ascii="Arial" w:hAnsi="Arial" w:cs="Arial"/>
                <w:sz w:val="24"/>
                <w:szCs w:val="24"/>
              </w:rPr>
            </w:pPr>
            <w:r w:rsidRPr="007C21A3">
              <w:rPr>
                <w:rFonts w:ascii="Arial" w:hAnsi="Arial" w:cs="Arial"/>
                <w:sz w:val="24"/>
                <w:szCs w:val="24"/>
              </w:rPr>
              <w:t xml:space="preserve">Positively influence the </w:t>
            </w:r>
            <w:r w:rsidRPr="007C21A3">
              <w:rPr>
                <w:rFonts w:ascii="Arial" w:hAnsi="Arial" w:cs="Arial"/>
                <w:sz w:val="24"/>
                <w:szCs w:val="24"/>
              </w:rPr>
              <w:t>health and wellbeing of Lancashire's children, young people and older people</w:t>
            </w:r>
          </w:p>
          <w:p w:rsidR="007E5170" w:rsidRPr="007C21A3" w:rsidRDefault="007C21A3" w:rsidP="00E257EE">
            <w:pPr>
              <w:pStyle w:val="ListParagraph"/>
              <w:numPr>
                <w:ilvl w:val="0"/>
                <w:numId w:val="1"/>
              </w:numPr>
              <w:jc w:val="both"/>
              <w:rPr>
                <w:rFonts w:ascii="Arial" w:hAnsi="Arial" w:cs="Arial"/>
                <w:sz w:val="24"/>
                <w:szCs w:val="24"/>
              </w:rPr>
            </w:pPr>
            <w:r w:rsidRPr="007C21A3">
              <w:rPr>
                <w:rFonts w:ascii="Arial" w:hAnsi="Arial" w:cs="Arial"/>
                <w:sz w:val="24"/>
                <w:szCs w:val="24"/>
              </w:rPr>
              <w:t xml:space="preserve">Continuous growth of </w:t>
            </w:r>
            <w:r w:rsidRPr="007C21A3">
              <w:rPr>
                <w:rFonts w:ascii="Arial" w:hAnsi="Arial" w:cs="Arial"/>
                <w:sz w:val="24"/>
                <w:szCs w:val="24"/>
              </w:rPr>
              <w:t xml:space="preserve">primary and </w:t>
            </w:r>
            <w:r w:rsidRPr="007C21A3">
              <w:rPr>
                <w:rFonts w:ascii="Arial" w:hAnsi="Arial" w:cs="Arial"/>
                <w:sz w:val="24"/>
                <w:szCs w:val="24"/>
              </w:rPr>
              <w:t>secondary school take up across Lancashire</w:t>
            </w:r>
            <w:r w:rsidRPr="007C21A3">
              <w:rPr>
                <w:rFonts w:ascii="Arial" w:hAnsi="Arial" w:cs="Arial"/>
                <w:sz w:val="24"/>
                <w:szCs w:val="24"/>
              </w:rPr>
              <w:t xml:space="preserve"> and subsequent growth of the School a</w:t>
            </w:r>
            <w:r w:rsidRPr="007C21A3">
              <w:rPr>
                <w:rFonts w:ascii="Arial" w:hAnsi="Arial" w:cs="Arial"/>
                <w:sz w:val="24"/>
                <w:szCs w:val="24"/>
              </w:rPr>
              <w:t>nd Residential Care Catering Service</w:t>
            </w:r>
          </w:p>
          <w:p w:rsidR="007E5170" w:rsidRPr="007C21A3" w:rsidRDefault="007C21A3" w:rsidP="00E257EE">
            <w:pPr>
              <w:pStyle w:val="ListParagraph"/>
              <w:numPr>
                <w:ilvl w:val="0"/>
                <w:numId w:val="1"/>
              </w:numPr>
              <w:jc w:val="both"/>
              <w:rPr>
                <w:rFonts w:ascii="Arial" w:hAnsi="Arial" w:cs="Arial"/>
                <w:sz w:val="24"/>
                <w:szCs w:val="24"/>
              </w:rPr>
            </w:pPr>
            <w:r w:rsidRPr="007C21A3">
              <w:rPr>
                <w:rFonts w:ascii="Arial" w:hAnsi="Arial" w:cs="Arial"/>
                <w:sz w:val="24"/>
                <w:szCs w:val="24"/>
              </w:rPr>
              <w:t>Continual develop</w:t>
            </w:r>
            <w:r w:rsidRPr="007C21A3">
              <w:rPr>
                <w:rFonts w:ascii="Arial" w:hAnsi="Arial" w:cs="Arial"/>
                <w:sz w:val="24"/>
                <w:szCs w:val="24"/>
              </w:rPr>
              <w:t>ment of</w:t>
            </w:r>
            <w:r w:rsidRPr="007C21A3">
              <w:rPr>
                <w:rFonts w:ascii="Arial" w:hAnsi="Arial" w:cs="Arial"/>
                <w:sz w:val="24"/>
                <w:szCs w:val="24"/>
              </w:rPr>
              <w:t xml:space="preserve"> product range</w:t>
            </w:r>
            <w:r w:rsidRPr="007C21A3">
              <w:rPr>
                <w:rFonts w:ascii="Arial" w:hAnsi="Arial" w:cs="Arial"/>
                <w:sz w:val="24"/>
                <w:szCs w:val="24"/>
              </w:rPr>
              <w:t xml:space="preserve"> and food standards</w:t>
            </w:r>
          </w:p>
          <w:p w:rsidR="007E5170" w:rsidRDefault="007C21A3" w:rsidP="00E257EE">
            <w:pPr>
              <w:pStyle w:val="ListParagraph"/>
              <w:numPr>
                <w:ilvl w:val="0"/>
                <w:numId w:val="1"/>
              </w:numPr>
              <w:jc w:val="both"/>
              <w:rPr>
                <w:rFonts w:ascii="Arial" w:hAnsi="Arial" w:cs="Arial"/>
                <w:sz w:val="24"/>
                <w:szCs w:val="24"/>
              </w:rPr>
            </w:pPr>
            <w:r w:rsidRPr="007C21A3">
              <w:rPr>
                <w:rFonts w:ascii="Arial" w:hAnsi="Arial" w:cs="Arial"/>
                <w:sz w:val="24"/>
                <w:szCs w:val="24"/>
              </w:rPr>
              <w:t>Promotion of local businesses, suppliers and employees where feasible</w:t>
            </w:r>
          </w:p>
          <w:p w:rsidR="007C21A3" w:rsidRDefault="007C21A3" w:rsidP="007C21A3">
            <w:pPr>
              <w:pStyle w:val="ListParagraph"/>
              <w:jc w:val="both"/>
              <w:rPr>
                <w:rFonts w:ascii="Arial" w:hAnsi="Arial" w:cs="Arial"/>
                <w:sz w:val="24"/>
                <w:szCs w:val="24"/>
              </w:rPr>
            </w:pPr>
          </w:p>
          <w:p w:rsidR="007C21A3" w:rsidRPr="007C21A3" w:rsidRDefault="007C21A3" w:rsidP="007C21A3">
            <w:pPr>
              <w:pStyle w:val="ListParagraph"/>
              <w:jc w:val="both"/>
              <w:rPr>
                <w:rFonts w:ascii="Arial" w:hAnsi="Arial" w:cs="Arial"/>
                <w:sz w:val="24"/>
                <w:szCs w:val="24"/>
              </w:rPr>
            </w:pPr>
            <w:bookmarkStart w:id="0" w:name="_GoBack"/>
            <w:bookmarkEnd w:id="0"/>
          </w:p>
          <w:p w:rsidR="007E5170" w:rsidRPr="007C21A3" w:rsidRDefault="007C21A3" w:rsidP="00E257EE">
            <w:pPr>
              <w:pStyle w:val="ListParagraph"/>
              <w:numPr>
                <w:ilvl w:val="0"/>
                <w:numId w:val="1"/>
              </w:numPr>
              <w:jc w:val="both"/>
              <w:rPr>
                <w:rFonts w:ascii="Arial" w:hAnsi="Arial" w:cs="Arial"/>
                <w:sz w:val="24"/>
                <w:szCs w:val="24"/>
              </w:rPr>
            </w:pPr>
            <w:r w:rsidRPr="007C21A3">
              <w:rPr>
                <w:rFonts w:ascii="Arial" w:hAnsi="Arial" w:cs="Arial"/>
                <w:sz w:val="24"/>
                <w:szCs w:val="24"/>
              </w:rPr>
              <w:t>Maintaining the silver</w:t>
            </w:r>
            <w:r w:rsidRPr="007C21A3">
              <w:rPr>
                <w:rFonts w:ascii="Arial" w:hAnsi="Arial" w:cs="Arial"/>
                <w:sz w:val="24"/>
                <w:szCs w:val="24"/>
              </w:rPr>
              <w:t xml:space="preserve"> standard catering mark for the School and Residential Care Catering </w:t>
            </w:r>
            <w:r w:rsidRPr="007C21A3">
              <w:rPr>
                <w:rFonts w:ascii="Arial" w:hAnsi="Arial" w:cs="Arial"/>
                <w:sz w:val="24"/>
                <w:szCs w:val="24"/>
              </w:rPr>
              <w:t>Service</w:t>
            </w:r>
          </w:p>
          <w:p w:rsidR="007E5170" w:rsidRPr="007C21A3" w:rsidRDefault="007C21A3" w:rsidP="00E257EE">
            <w:pPr>
              <w:pStyle w:val="ListParagraph"/>
              <w:numPr>
                <w:ilvl w:val="0"/>
                <w:numId w:val="1"/>
              </w:numPr>
              <w:jc w:val="both"/>
              <w:rPr>
                <w:rFonts w:ascii="Arial" w:hAnsi="Arial" w:cs="Arial"/>
                <w:sz w:val="24"/>
                <w:szCs w:val="24"/>
              </w:rPr>
            </w:pPr>
            <w:r w:rsidRPr="007C21A3">
              <w:rPr>
                <w:rFonts w:ascii="Arial" w:hAnsi="Arial" w:cs="Arial"/>
                <w:sz w:val="24"/>
                <w:szCs w:val="24"/>
              </w:rPr>
              <w:t>Environmental impact</w:t>
            </w:r>
          </w:p>
          <w:p w:rsidR="007E5170" w:rsidRPr="007C21A3" w:rsidRDefault="007C21A3" w:rsidP="00E257EE">
            <w:pPr>
              <w:pStyle w:val="ListParagraph"/>
              <w:numPr>
                <w:ilvl w:val="0"/>
                <w:numId w:val="1"/>
              </w:numPr>
              <w:jc w:val="both"/>
              <w:rPr>
                <w:rFonts w:ascii="Arial" w:hAnsi="Arial" w:cs="Arial"/>
                <w:sz w:val="24"/>
                <w:szCs w:val="24"/>
              </w:rPr>
            </w:pPr>
            <w:r w:rsidRPr="007C21A3">
              <w:rPr>
                <w:rFonts w:ascii="Arial" w:hAnsi="Arial" w:cs="Arial"/>
                <w:sz w:val="24"/>
                <w:szCs w:val="24"/>
              </w:rPr>
              <w:t>Value for money</w:t>
            </w:r>
          </w:p>
        </w:tc>
      </w:tr>
    </w:tbl>
    <w:p w:rsidR="00BB0EC1" w:rsidRDefault="007C21A3"/>
    <w:p w:rsidR="00BB0EC1" w:rsidRDefault="007C21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F1B0F" w:rsidTr="00672D79">
        <w:trPr>
          <w:trHeight w:val="687"/>
        </w:trPr>
        <w:tc>
          <w:tcPr>
            <w:tcW w:w="9016" w:type="dxa"/>
            <w:shd w:val="clear" w:color="auto" w:fill="auto"/>
          </w:tcPr>
          <w:p w:rsidR="00BB0EC1" w:rsidRPr="003B5894" w:rsidRDefault="007C21A3" w:rsidP="00672D79">
            <w:pPr>
              <w:spacing w:after="0"/>
              <w:rPr>
                <w:rFonts w:ascii="Arial" w:hAnsi="Arial" w:cs="Arial"/>
                <w:b/>
                <w:sz w:val="24"/>
                <w:szCs w:val="24"/>
              </w:rPr>
            </w:pPr>
            <w:r w:rsidRPr="003B5894">
              <w:rPr>
                <w:rFonts w:ascii="Arial" w:hAnsi="Arial" w:cs="Arial"/>
                <w:b/>
                <w:sz w:val="24"/>
                <w:szCs w:val="24"/>
              </w:rPr>
              <w:lastRenderedPageBreak/>
              <w:t>Procurement Title</w:t>
            </w:r>
          </w:p>
          <w:p w:rsidR="00BB0EC1" w:rsidRPr="003B5894" w:rsidRDefault="007C21A3" w:rsidP="00672D79">
            <w:pPr>
              <w:spacing w:after="0"/>
              <w:rPr>
                <w:rFonts w:ascii="Arial" w:hAnsi="Arial" w:cs="Arial"/>
                <w:sz w:val="24"/>
                <w:szCs w:val="24"/>
              </w:rPr>
            </w:pPr>
            <w:r>
              <w:rPr>
                <w:rFonts w:ascii="Arial" w:hAnsi="Arial" w:cs="Arial"/>
                <w:sz w:val="24"/>
                <w:szCs w:val="24"/>
              </w:rPr>
              <w:t>Grounds Maintenance Services – Dynamic Purchasing System</w:t>
            </w:r>
          </w:p>
        </w:tc>
      </w:tr>
      <w:tr w:rsidR="00BF1B0F" w:rsidTr="00672D79">
        <w:trPr>
          <w:trHeight w:val="710"/>
        </w:trPr>
        <w:tc>
          <w:tcPr>
            <w:tcW w:w="9016" w:type="dxa"/>
            <w:shd w:val="clear" w:color="auto" w:fill="auto"/>
          </w:tcPr>
          <w:p w:rsidR="00BB0EC1" w:rsidRPr="003B5894" w:rsidRDefault="007C21A3" w:rsidP="00672D79">
            <w:pPr>
              <w:spacing w:after="0"/>
              <w:rPr>
                <w:rFonts w:ascii="Arial" w:hAnsi="Arial" w:cs="Arial"/>
                <w:b/>
                <w:sz w:val="24"/>
                <w:szCs w:val="24"/>
              </w:rPr>
            </w:pPr>
            <w:r w:rsidRPr="003B5894">
              <w:rPr>
                <w:rFonts w:ascii="Arial" w:hAnsi="Arial" w:cs="Arial"/>
                <w:b/>
                <w:sz w:val="24"/>
                <w:szCs w:val="24"/>
              </w:rPr>
              <w:t>Procurement Option</w:t>
            </w:r>
          </w:p>
          <w:p w:rsidR="00BB0EC1" w:rsidRPr="003B5894" w:rsidRDefault="007C21A3" w:rsidP="00672D79">
            <w:pPr>
              <w:spacing w:after="120"/>
              <w:rPr>
                <w:rFonts w:ascii="Arial" w:hAnsi="Arial" w:cs="Arial"/>
                <w:sz w:val="24"/>
                <w:szCs w:val="24"/>
              </w:rPr>
            </w:pPr>
            <w:r w:rsidRPr="001658FB">
              <w:rPr>
                <w:rFonts w:ascii="Arial" w:hAnsi="Arial" w:cs="Arial"/>
                <w:sz w:val="24"/>
                <w:szCs w:val="24"/>
              </w:rPr>
              <w:t>OJEU – Dynamic Purchasing System (DPS)</w:t>
            </w:r>
            <w:r>
              <w:rPr>
                <w:rFonts w:ascii="Arial" w:hAnsi="Arial" w:cs="Arial"/>
                <w:sz w:val="24"/>
                <w:szCs w:val="24"/>
              </w:rPr>
              <w:t xml:space="preserve"> compliant with the Public Contract Regulations 2015.</w:t>
            </w:r>
          </w:p>
        </w:tc>
      </w:tr>
      <w:tr w:rsidR="00BF1B0F" w:rsidTr="00672D79">
        <w:trPr>
          <w:trHeight w:val="706"/>
        </w:trPr>
        <w:tc>
          <w:tcPr>
            <w:tcW w:w="9016" w:type="dxa"/>
            <w:shd w:val="clear" w:color="auto" w:fill="auto"/>
          </w:tcPr>
          <w:p w:rsidR="00BB0EC1" w:rsidRPr="003B5894" w:rsidRDefault="007C21A3" w:rsidP="00672D79">
            <w:pPr>
              <w:spacing w:after="0"/>
              <w:rPr>
                <w:rFonts w:ascii="Arial" w:hAnsi="Arial" w:cs="Arial"/>
                <w:b/>
                <w:sz w:val="24"/>
                <w:szCs w:val="24"/>
              </w:rPr>
            </w:pPr>
            <w:r w:rsidRPr="003B5894">
              <w:rPr>
                <w:rFonts w:ascii="Arial" w:hAnsi="Arial" w:cs="Arial"/>
                <w:b/>
                <w:sz w:val="24"/>
                <w:szCs w:val="24"/>
              </w:rPr>
              <w:t xml:space="preserve">New or Existing </w:t>
            </w:r>
            <w:r w:rsidRPr="003B5894">
              <w:rPr>
                <w:rFonts w:ascii="Arial" w:hAnsi="Arial" w:cs="Arial"/>
                <w:b/>
                <w:sz w:val="24"/>
                <w:szCs w:val="24"/>
              </w:rPr>
              <w:t>Provision</w:t>
            </w:r>
          </w:p>
          <w:p w:rsidR="00BB0EC1" w:rsidRPr="003B5894" w:rsidRDefault="007C21A3" w:rsidP="00672D79">
            <w:pPr>
              <w:spacing w:after="120"/>
              <w:rPr>
                <w:rFonts w:ascii="Arial" w:hAnsi="Arial" w:cs="Arial"/>
                <w:sz w:val="24"/>
                <w:szCs w:val="24"/>
              </w:rPr>
            </w:pPr>
            <w:r>
              <w:rPr>
                <w:rFonts w:ascii="Arial" w:hAnsi="Arial" w:cs="Arial"/>
                <w:sz w:val="24"/>
                <w:szCs w:val="24"/>
              </w:rPr>
              <w:t>Existing – currently operating as numerous standalone contracts with various end dates within the next 4 years.</w:t>
            </w:r>
          </w:p>
        </w:tc>
      </w:tr>
      <w:tr w:rsidR="00BF1B0F" w:rsidTr="00672D79">
        <w:trPr>
          <w:trHeight w:val="3922"/>
        </w:trPr>
        <w:tc>
          <w:tcPr>
            <w:tcW w:w="9016" w:type="dxa"/>
            <w:shd w:val="clear" w:color="auto" w:fill="auto"/>
          </w:tcPr>
          <w:p w:rsidR="00BB0EC1" w:rsidRPr="003B5894" w:rsidRDefault="007C21A3" w:rsidP="00672D79">
            <w:pPr>
              <w:spacing w:after="0"/>
              <w:rPr>
                <w:rFonts w:ascii="Arial" w:hAnsi="Arial" w:cs="Arial"/>
                <w:b/>
                <w:sz w:val="24"/>
                <w:szCs w:val="24"/>
              </w:rPr>
            </w:pPr>
            <w:r w:rsidRPr="003B5894">
              <w:rPr>
                <w:rFonts w:ascii="Arial" w:hAnsi="Arial" w:cs="Arial"/>
                <w:b/>
                <w:sz w:val="24"/>
                <w:szCs w:val="24"/>
              </w:rPr>
              <w:t>Estimated Contract Value and Funding Arrangements</w:t>
            </w:r>
          </w:p>
          <w:p w:rsidR="00BB0EC1" w:rsidRDefault="007C21A3" w:rsidP="00672D79">
            <w:pPr>
              <w:spacing w:after="240"/>
              <w:jc w:val="both"/>
              <w:rPr>
                <w:rFonts w:ascii="Arial" w:hAnsi="Arial" w:cs="Arial"/>
                <w:sz w:val="24"/>
                <w:szCs w:val="24"/>
              </w:rPr>
            </w:pPr>
            <w:r w:rsidRPr="00D515B9">
              <w:rPr>
                <w:rFonts w:ascii="Arial" w:hAnsi="Arial" w:cs="Arial"/>
                <w:sz w:val="24"/>
                <w:szCs w:val="24"/>
              </w:rPr>
              <w:t xml:space="preserve">The approximate annual value of contracts awarded each year under the DPS is £154,000. Each contract will have an average duration of four years. Therefore the total value of the DPS over its </w:t>
            </w:r>
            <w:r>
              <w:rPr>
                <w:rFonts w:ascii="Arial" w:hAnsi="Arial" w:cs="Arial"/>
                <w:sz w:val="24"/>
                <w:szCs w:val="24"/>
              </w:rPr>
              <w:t xml:space="preserve">initial </w:t>
            </w:r>
            <w:r w:rsidRPr="00D515B9">
              <w:rPr>
                <w:rFonts w:ascii="Arial" w:hAnsi="Arial" w:cs="Arial"/>
                <w:sz w:val="24"/>
                <w:szCs w:val="24"/>
              </w:rPr>
              <w:t>four year term, including the call-off contracts that go</w:t>
            </w:r>
            <w:r w:rsidRPr="00D515B9">
              <w:rPr>
                <w:rFonts w:ascii="Arial" w:hAnsi="Arial" w:cs="Arial"/>
                <w:sz w:val="24"/>
                <w:szCs w:val="24"/>
              </w:rPr>
              <w:t xml:space="preserve"> beyond the four year term, is approximately £2,464,000</w:t>
            </w:r>
            <w:r>
              <w:rPr>
                <w:rFonts w:ascii="Arial" w:hAnsi="Arial" w:cs="Arial"/>
                <w:sz w:val="24"/>
                <w:szCs w:val="24"/>
              </w:rPr>
              <w:t>:</w:t>
            </w:r>
          </w:p>
          <w:tbl>
            <w:tblPr>
              <w:tblW w:w="0" w:type="auto"/>
              <w:tblCellMar>
                <w:left w:w="0" w:type="dxa"/>
                <w:right w:w="0" w:type="dxa"/>
              </w:tblCellMar>
              <w:tblLook w:val="04A0" w:firstRow="1" w:lastRow="0" w:firstColumn="1" w:lastColumn="0" w:noHBand="0" w:noVBand="1"/>
            </w:tblPr>
            <w:tblGrid>
              <w:gridCol w:w="1017"/>
              <w:gridCol w:w="1017"/>
              <w:gridCol w:w="1017"/>
              <w:gridCol w:w="1017"/>
              <w:gridCol w:w="1331"/>
              <w:gridCol w:w="1417"/>
              <w:gridCol w:w="1276"/>
            </w:tblGrid>
            <w:tr w:rsidR="00BF1B0F" w:rsidTr="00672D79">
              <w:trPr>
                <w:trHeight w:val="300"/>
              </w:trPr>
              <w:tc>
                <w:tcPr>
                  <w:tcW w:w="4068"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BB0EC1" w:rsidRPr="002B4957" w:rsidRDefault="007C21A3" w:rsidP="00672D79">
                  <w:pPr>
                    <w:spacing w:after="0"/>
                    <w:jc w:val="both"/>
                    <w:rPr>
                      <w:rFonts w:ascii="Arial" w:hAnsi="Arial" w:cs="Arial"/>
                      <w:sz w:val="24"/>
                      <w:szCs w:val="24"/>
                    </w:rPr>
                  </w:pPr>
                  <w:r>
                    <w:rPr>
                      <w:rFonts w:ascii="Arial" w:hAnsi="Arial" w:cs="Arial"/>
                      <w:sz w:val="24"/>
                      <w:szCs w:val="24"/>
                    </w:rPr>
                    <w:t>DPS four year term</w:t>
                  </w:r>
                </w:p>
              </w:tc>
              <w:tc>
                <w:tcPr>
                  <w:tcW w:w="4024" w:type="dxa"/>
                  <w:gridSpan w:val="3"/>
                  <w:tcBorders>
                    <w:top w:val="single" w:sz="8" w:space="0" w:color="auto"/>
                    <w:left w:val="single" w:sz="8" w:space="0" w:color="auto"/>
                    <w:bottom w:val="single" w:sz="8" w:space="0" w:color="auto"/>
                    <w:right w:val="single" w:sz="8" w:space="0" w:color="auto"/>
                  </w:tcBorders>
                </w:tcPr>
                <w:p w:rsidR="00BB0EC1" w:rsidRPr="002B4957" w:rsidRDefault="007C21A3" w:rsidP="00672D79">
                  <w:pPr>
                    <w:spacing w:after="0"/>
                    <w:jc w:val="both"/>
                    <w:rPr>
                      <w:rFonts w:ascii="Arial" w:hAnsi="Arial" w:cs="Arial"/>
                      <w:sz w:val="24"/>
                      <w:szCs w:val="24"/>
                    </w:rPr>
                  </w:pPr>
                  <w:r>
                    <w:rPr>
                      <w:rFonts w:ascii="Arial" w:hAnsi="Arial" w:cs="Arial"/>
                      <w:sz w:val="24"/>
                      <w:szCs w:val="24"/>
                    </w:rPr>
                    <w:t xml:space="preserve"> Contracts expiring beyond DPS term</w:t>
                  </w:r>
                </w:p>
              </w:tc>
            </w:tr>
            <w:tr w:rsidR="00BF1B0F" w:rsidTr="00672D79">
              <w:trPr>
                <w:trHeight w:val="300"/>
              </w:trPr>
              <w:tc>
                <w:tcPr>
                  <w:tcW w:w="10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Year 1</w:t>
                  </w:r>
                </w:p>
              </w:tc>
              <w:tc>
                <w:tcPr>
                  <w:tcW w:w="10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Year 2</w:t>
                  </w:r>
                </w:p>
              </w:tc>
              <w:tc>
                <w:tcPr>
                  <w:tcW w:w="10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Year 3</w:t>
                  </w:r>
                </w:p>
              </w:tc>
              <w:tc>
                <w:tcPr>
                  <w:tcW w:w="10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Year 4</w:t>
                  </w:r>
                </w:p>
              </w:tc>
              <w:tc>
                <w:tcPr>
                  <w:tcW w:w="1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Year 5</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Year 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Year 7</w:t>
                  </w:r>
                </w:p>
              </w:tc>
            </w:tr>
            <w:tr w:rsidR="00BF1B0F" w:rsidTr="00672D79">
              <w:trPr>
                <w:trHeight w:val="300"/>
              </w:trPr>
              <w:tc>
                <w:tcPr>
                  <w:tcW w:w="10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331"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p>
              </w:tc>
            </w:tr>
            <w:tr w:rsidR="00BF1B0F" w:rsidTr="00672D79">
              <w:trPr>
                <w:trHeight w:val="300"/>
              </w:trPr>
              <w:tc>
                <w:tcPr>
                  <w:tcW w:w="10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331"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p>
              </w:tc>
            </w:tr>
            <w:tr w:rsidR="00BF1B0F" w:rsidTr="00672D79">
              <w:trPr>
                <w:trHeight w:val="300"/>
              </w:trPr>
              <w:tc>
                <w:tcPr>
                  <w:tcW w:w="10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331"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p>
              </w:tc>
            </w:tr>
            <w:tr w:rsidR="00BF1B0F" w:rsidTr="00672D79">
              <w:trPr>
                <w:trHeight w:val="300"/>
              </w:trPr>
              <w:tc>
                <w:tcPr>
                  <w:tcW w:w="10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331"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BB0EC1" w:rsidRPr="002B4957" w:rsidRDefault="007C21A3" w:rsidP="00672D79">
                  <w:pPr>
                    <w:spacing w:after="0"/>
                    <w:jc w:val="both"/>
                    <w:rPr>
                      <w:rFonts w:ascii="Arial" w:hAnsi="Arial" w:cs="Arial"/>
                      <w:sz w:val="24"/>
                      <w:szCs w:val="24"/>
                    </w:rPr>
                  </w:pPr>
                  <w:r w:rsidRPr="002B4957">
                    <w:rPr>
                      <w:rFonts w:ascii="Arial" w:hAnsi="Arial" w:cs="Arial"/>
                      <w:sz w:val="24"/>
                      <w:szCs w:val="24"/>
                    </w:rPr>
                    <w:t>154000</w:t>
                  </w:r>
                </w:p>
              </w:tc>
            </w:tr>
          </w:tbl>
          <w:p w:rsidR="00BB0EC1" w:rsidRDefault="007C21A3" w:rsidP="00672D79">
            <w:pPr>
              <w:spacing w:after="0"/>
              <w:jc w:val="both"/>
              <w:rPr>
                <w:rFonts w:ascii="Arial" w:hAnsi="Arial" w:cs="Arial"/>
                <w:sz w:val="24"/>
                <w:szCs w:val="24"/>
              </w:rPr>
            </w:pPr>
          </w:p>
          <w:p w:rsidR="00BB0EC1" w:rsidRDefault="007C21A3" w:rsidP="00672D79">
            <w:pPr>
              <w:spacing w:after="60"/>
              <w:jc w:val="both"/>
              <w:rPr>
                <w:rFonts w:ascii="Arial" w:hAnsi="Arial" w:cs="Arial"/>
                <w:sz w:val="24"/>
                <w:szCs w:val="24"/>
              </w:rPr>
            </w:pPr>
            <w:r>
              <w:rPr>
                <w:rFonts w:ascii="Arial" w:hAnsi="Arial" w:cs="Arial"/>
                <w:sz w:val="24"/>
                <w:szCs w:val="24"/>
              </w:rPr>
              <w:t>There will be an option to extend the DPS term by a further period of two years. Exercising this extension in full means that a further estimated £1,232,000 would be added to the overall value of the DPS.</w:t>
            </w:r>
          </w:p>
          <w:p w:rsidR="00BB0EC1" w:rsidRPr="002D3336" w:rsidRDefault="007C21A3" w:rsidP="00672D79">
            <w:pPr>
              <w:spacing w:after="60"/>
              <w:jc w:val="both"/>
              <w:rPr>
                <w:rFonts w:ascii="Arial" w:hAnsi="Arial" w:cs="Arial"/>
                <w:sz w:val="24"/>
                <w:szCs w:val="24"/>
              </w:rPr>
            </w:pPr>
            <w:r>
              <w:rPr>
                <w:rFonts w:ascii="Arial" w:hAnsi="Arial" w:cs="Arial"/>
                <w:sz w:val="24"/>
                <w:szCs w:val="24"/>
              </w:rPr>
              <w:t xml:space="preserve">The Grounds </w:t>
            </w:r>
            <w:r>
              <w:rPr>
                <w:rFonts w:ascii="Arial" w:hAnsi="Arial" w:cs="Arial"/>
                <w:sz w:val="24"/>
                <w:szCs w:val="24"/>
              </w:rPr>
              <w:t>Maintenance services</w:t>
            </w:r>
            <w:r w:rsidRPr="002D3336">
              <w:rPr>
                <w:rFonts w:ascii="Arial" w:hAnsi="Arial" w:cs="Arial"/>
                <w:sz w:val="24"/>
                <w:szCs w:val="24"/>
              </w:rPr>
              <w:t xml:space="preserve"> </w:t>
            </w:r>
            <w:r>
              <w:rPr>
                <w:rFonts w:ascii="Arial" w:hAnsi="Arial" w:cs="Arial"/>
                <w:sz w:val="24"/>
                <w:szCs w:val="24"/>
              </w:rPr>
              <w:t>are</w:t>
            </w:r>
            <w:r w:rsidRPr="002D3336">
              <w:rPr>
                <w:rFonts w:ascii="Arial" w:hAnsi="Arial" w:cs="Arial"/>
                <w:sz w:val="24"/>
                <w:szCs w:val="24"/>
              </w:rPr>
              <w:t xml:space="preserve"> not </w:t>
            </w:r>
            <w:r>
              <w:rPr>
                <w:rFonts w:ascii="Arial" w:hAnsi="Arial" w:cs="Arial"/>
                <w:sz w:val="24"/>
                <w:szCs w:val="24"/>
              </w:rPr>
              <w:t>drawn from a Council budget. The</w:t>
            </w:r>
            <w:r w:rsidRPr="002D3336">
              <w:rPr>
                <w:rFonts w:ascii="Arial" w:hAnsi="Arial" w:cs="Arial"/>
                <w:sz w:val="24"/>
                <w:szCs w:val="24"/>
              </w:rPr>
              <w:t xml:space="preserve"> </w:t>
            </w:r>
            <w:r>
              <w:rPr>
                <w:rFonts w:ascii="Arial" w:hAnsi="Arial" w:cs="Arial"/>
                <w:sz w:val="24"/>
                <w:szCs w:val="24"/>
              </w:rPr>
              <w:t>DPS</w:t>
            </w:r>
            <w:r w:rsidRPr="002D3336">
              <w:rPr>
                <w:rFonts w:ascii="Arial" w:hAnsi="Arial" w:cs="Arial"/>
                <w:sz w:val="24"/>
                <w:szCs w:val="24"/>
              </w:rPr>
              <w:t xml:space="preserve"> may be accessed by educational and other establishments as part of a traded service, therefore these customers in each case will pay for the delivery of the services. The Council receives a </w:t>
            </w:r>
            <w:r w:rsidRPr="002D3336">
              <w:rPr>
                <w:rFonts w:ascii="Arial" w:hAnsi="Arial" w:cs="Arial"/>
                <w:sz w:val="24"/>
                <w:szCs w:val="24"/>
              </w:rPr>
              <w:t>net income overall for providing this traded service, as customers pay a fee to the Council in order to access the contracts and contract management by the Design and Construction Service.</w:t>
            </w:r>
          </w:p>
          <w:p w:rsidR="00BB0EC1" w:rsidRPr="000D672F" w:rsidRDefault="007C21A3" w:rsidP="00672D79">
            <w:pPr>
              <w:spacing w:after="60"/>
              <w:jc w:val="both"/>
              <w:rPr>
                <w:rFonts w:ascii="Arial" w:hAnsi="Arial" w:cs="Arial"/>
                <w:b/>
                <w:sz w:val="24"/>
                <w:szCs w:val="24"/>
              </w:rPr>
            </w:pPr>
            <w:r w:rsidRPr="002D3336">
              <w:rPr>
                <w:rFonts w:ascii="Arial" w:hAnsi="Arial" w:cs="Arial"/>
                <w:sz w:val="24"/>
                <w:szCs w:val="24"/>
              </w:rPr>
              <w:t xml:space="preserve">There is no commitment or guarantee </w:t>
            </w:r>
            <w:r>
              <w:rPr>
                <w:rFonts w:ascii="Arial" w:hAnsi="Arial" w:cs="Arial"/>
                <w:sz w:val="24"/>
                <w:szCs w:val="24"/>
              </w:rPr>
              <w:t>as to</w:t>
            </w:r>
            <w:r w:rsidRPr="002D3336">
              <w:rPr>
                <w:rFonts w:ascii="Arial" w:hAnsi="Arial" w:cs="Arial"/>
                <w:sz w:val="24"/>
                <w:szCs w:val="24"/>
              </w:rPr>
              <w:t xml:space="preserve"> the value of work and/or n</w:t>
            </w:r>
            <w:r>
              <w:rPr>
                <w:rFonts w:ascii="Arial" w:hAnsi="Arial" w:cs="Arial"/>
                <w:sz w:val="24"/>
                <w:szCs w:val="24"/>
              </w:rPr>
              <w:t>umber of contracts</w:t>
            </w:r>
            <w:r w:rsidRPr="002D3336">
              <w:rPr>
                <w:rFonts w:ascii="Arial" w:hAnsi="Arial" w:cs="Arial"/>
                <w:sz w:val="24"/>
                <w:szCs w:val="24"/>
              </w:rPr>
              <w:t xml:space="preserve"> to be placed with the suppliers appointed to the </w:t>
            </w:r>
            <w:r>
              <w:rPr>
                <w:rFonts w:ascii="Arial" w:hAnsi="Arial" w:cs="Arial"/>
                <w:sz w:val="24"/>
                <w:szCs w:val="24"/>
              </w:rPr>
              <w:t>DPS</w:t>
            </w:r>
            <w:r w:rsidRPr="002D3336">
              <w:rPr>
                <w:rFonts w:ascii="Arial" w:hAnsi="Arial" w:cs="Arial"/>
                <w:sz w:val="24"/>
                <w:szCs w:val="24"/>
              </w:rPr>
              <w:t>.</w:t>
            </w:r>
          </w:p>
        </w:tc>
      </w:tr>
      <w:tr w:rsidR="00BF1B0F" w:rsidTr="00672D79">
        <w:trPr>
          <w:trHeight w:val="992"/>
        </w:trPr>
        <w:tc>
          <w:tcPr>
            <w:tcW w:w="9016" w:type="dxa"/>
            <w:shd w:val="clear" w:color="auto" w:fill="auto"/>
          </w:tcPr>
          <w:p w:rsidR="00BB0EC1" w:rsidRPr="003B5894" w:rsidRDefault="007C21A3" w:rsidP="00672D79">
            <w:pPr>
              <w:spacing w:after="0"/>
              <w:rPr>
                <w:rFonts w:ascii="Arial" w:hAnsi="Arial" w:cs="Arial"/>
                <w:b/>
                <w:sz w:val="24"/>
                <w:szCs w:val="24"/>
              </w:rPr>
            </w:pPr>
            <w:r w:rsidRPr="003B5894">
              <w:rPr>
                <w:rFonts w:ascii="Arial" w:hAnsi="Arial" w:cs="Arial"/>
                <w:b/>
                <w:sz w:val="24"/>
                <w:szCs w:val="24"/>
              </w:rPr>
              <w:t>Contract Duration</w:t>
            </w:r>
          </w:p>
          <w:p w:rsidR="00BB0EC1" w:rsidRPr="00E93559" w:rsidRDefault="007C21A3" w:rsidP="00672D79">
            <w:pPr>
              <w:spacing w:after="0"/>
              <w:rPr>
                <w:rFonts w:ascii="Arial" w:hAnsi="Arial" w:cs="Arial"/>
                <w:sz w:val="24"/>
                <w:szCs w:val="24"/>
              </w:rPr>
            </w:pPr>
            <w:r w:rsidRPr="00C2363F">
              <w:rPr>
                <w:rFonts w:ascii="Arial" w:hAnsi="Arial" w:cs="Arial"/>
                <w:sz w:val="24"/>
                <w:szCs w:val="24"/>
              </w:rPr>
              <w:t>The DPS will commence on</w:t>
            </w:r>
            <w:r>
              <w:rPr>
                <w:rFonts w:ascii="Arial" w:hAnsi="Arial" w:cs="Arial"/>
                <w:sz w:val="24"/>
                <w:szCs w:val="24"/>
              </w:rPr>
              <w:t xml:space="preserve"> or after 01/04/2021 and will be in place for an initial period of </w:t>
            </w:r>
            <w:r w:rsidRPr="00E557A5">
              <w:rPr>
                <w:rFonts w:ascii="Arial" w:hAnsi="Arial" w:cs="Arial"/>
                <w:sz w:val="24"/>
                <w:szCs w:val="24"/>
              </w:rPr>
              <w:t>four years</w:t>
            </w:r>
            <w:r>
              <w:rPr>
                <w:rFonts w:ascii="Arial" w:hAnsi="Arial" w:cs="Arial"/>
                <w:sz w:val="24"/>
                <w:szCs w:val="24"/>
              </w:rPr>
              <w:t xml:space="preserve"> subject to no early termination by the Council. There will be an option to extend the DPS by a further period of two years.</w:t>
            </w:r>
          </w:p>
        </w:tc>
      </w:tr>
      <w:tr w:rsidR="00BF1B0F" w:rsidTr="00672D79">
        <w:trPr>
          <w:trHeight w:val="772"/>
        </w:trPr>
        <w:tc>
          <w:tcPr>
            <w:tcW w:w="9016" w:type="dxa"/>
            <w:shd w:val="clear" w:color="auto" w:fill="auto"/>
          </w:tcPr>
          <w:p w:rsidR="00BB0EC1" w:rsidRPr="003B5894" w:rsidRDefault="007C21A3" w:rsidP="00672D79">
            <w:pPr>
              <w:spacing w:after="0"/>
              <w:rPr>
                <w:rFonts w:ascii="Arial" w:hAnsi="Arial" w:cs="Arial"/>
                <w:b/>
                <w:sz w:val="24"/>
                <w:szCs w:val="24"/>
              </w:rPr>
            </w:pPr>
            <w:r w:rsidRPr="00E557A5">
              <w:rPr>
                <w:rFonts w:ascii="Arial" w:hAnsi="Arial" w:cs="Arial"/>
                <w:b/>
                <w:sz w:val="24"/>
                <w:szCs w:val="24"/>
              </w:rPr>
              <w:t>Categories</w:t>
            </w:r>
          </w:p>
          <w:p w:rsidR="00BB0EC1" w:rsidRPr="003B5894" w:rsidRDefault="007C21A3" w:rsidP="00672D79">
            <w:pPr>
              <w:spacing w:after="0"/>
              <w:rPr>
                <w:rFonts w:ascii="Arial" w:hAnsi="Arial" w:cs="Arial"/>
                <w:sz w:val="24"/>
                <w:szCs w:val="24"/>
              </w:rPr>
            </w:pPr>
            <w:r>
              <w:rPr>
                <w:rFonts w:ascii="Arial" w:hAnsi="Arial" w:cs="Arial"/>
                <w:sz w:val="24"/>
                <w:szCs w:val="24"/>
              </w:rPr>
              <w:t>N/A</w:t>
            </w:r>
          </w:p>
        </w:tc>
      </w:tr>
      <w:tr w:rsidR="00BF1B0F" w:rsidTr="00672D79">
        <w:tc>
          <w:tcPr>
            <w:tcW w:w="9016" w:type="dxa"/>
            <w:shd w:val="clear" w:color="auto" w:fill="auto"/>
            <w:vAlign w:val="center"/>
          </w:tcPr>
          <w:p w:rsidR="00BB0EC1" w:rsidRPr="003B5894" w:rsidRDefault="007C21A3" w:rsidP="00672D79">
            <w:pPr>
              <w:spacing w:after="60"/>
              <w:rPr>
                <w:rFonts w:ascii="Arial" w:hAnsi="Arial" w:cs="Arial"/>
                <w:b/>
                <w:sz w:val="24"/>
                <w:szCs w:val="24"/>
              </w:rPr>
            </w:pPr>
            <w:r w:rsidRPr="003B5894">
              <w:rPr>
                <w:rFonts w:ascii="Arial" w:hAnsi="Arial" w:cs="Arial"/>
                <w:b/>
                <w:sz w:val="24"/>
                <w:szCs w:val="24"/>
              </w:rPr>
              <w:t>Evaluation</w:t>
            </w:r>
          </w:p>
          <w:p w:rsidR="00BB0EC1" w:rsidRPr="00853DFB" w:rsidRDefault="007C21A3" w:rsidP="00672D79">
            <w:pPr>
              <w:spacing w:after="60"/>
              <w:jc w:val="both"/>
              <w:rPr>
                <w:rFonts w:ascii="Arial" w:hAnsi="Arial" w:cs="Arial"/>
                <w:sz w:val="24"/>
                <w:szCs w:val="24"/>
              </w:rPr>
            </w:pPr>
            <w:r w:rsidRPr="00853DFB">
              <w:rPr>
                <w:rFonts w:ascii="Arial" w:hAnsi="Arial" w:cs="Arial"/>
                <w:sz w:val="24"/>
                <w:szCs w:val="24"/>
              </w:rPr>
              <w:t>A DPS has two stages of evaluation:</w:t>
            </w:r>
          </w:p>
          <w:p w:rsidR="00BB0EC1" w:rsidRPr="00853DFB" w:rsidRDefault="007C21A3" w:rsidP="00672D79">
            <w:pPr>
              <w:spacing w:after="60"/>
              <w:jc w:val="both"/>
              <w:rPr>
                <w:rFonts w:ascii="Arial" w:hAnsi="Arial" w:cs="Arial"/>
                <w:sz w:val="24"/>
                <w:szCs w:val="24"/>
              </w:rPr>
            </w:pPr>
            <w:r w:rsidRPr="00853DFB">
              <w:rPr>
                <w:rFonts w:ascii="Arial" w:hAnsi="Arial" w:cs="Arial"/>
                <w:sz w:val="24"/>
                <w:szCs w:val="24"/>
              </w:rPr>
              <w:t xml:space="preserve">Stage One: Potential suppliers may submit applications to join the DPS. The application process assesses a potential supplier against a series of exclusion and selection criteria in the form of a supplier selection questionnaire (SQ). Under the </w:t>
            </w:r>
            <w:r w:rsidRPr="00853DFB">
              <w:rPr>
                <w:rFonts w:ascii="Arial" w:hAnsi="Arial" w:cs="Arial"/>
                <w:sz w:val="24"/>
                <w:szCs w:val="24"/>
              </w:rPr>
              <w:lastRenderedPageBreak/>
              <w:t>Public Cont</w:t>
            </w:r>
            <w:r w:rsidRPr="00853DFB">
              <w:rPr>
                <w:rFonts w:ascii="Arial" w:hAnsi="Arial" w:cs="Arial"/>
                <w:sz w:val="24"/>
                <w:szCs w:val="24"/>
              </w:rPr>
              <w:t>racts Regulations 2015, every supplier that passes the SQ must be admitted onto the DPS where they m</w:t>
            </w:r>
            <w:r>
              <w:rPr>
                <w:rFonts w:ascii="Arial" w:hAnsi="Arial" w:cs="Arial"/>
                <w:sz w:val="24"/>
                <w:szCs w:val="24"/>
              </w:rPr>
              <w:t>e</w:t>
            </w:r>
            <w:r w:rsidRPr="00853DFB">
              <w:rPr>
                <w:rFonts w:ascii="Arial" w:hAnsi="Arial" w:cs="Arial"/>
                <w:sz w:val="24"/>
                <w:szCs w:val="24"/>
              </w:rPr>
              <w:t>et the criteria.</w:t>
            </w:r>
          </w:p>
          <w:p w:rsidR="00BB0EC1" w:rsidRDefault="007C21A3" w:rsidP="00672D79">
            <w:pPr>
              <w:spacing w:after="60"/>
              <w:jc w:val="both"/>
              <w:rPr>
                <w:rFonts w:ascii="Arial" w:hAnsi="Arial" w:cs="Arial"/>
                <w:sz w:val="24"/>
                <w:szCs w:val="24"/>
              </w:rPr>
            </w:pPr>
            <w:r w:rsidRPr="00853DFB">
              <w:rPr>
                <w:rFonts w:ascii="Arial" w:hAnsi="Arial" w:cs="Arial"/>
                <w:sz w:val="24"/>
                <w:szCs w:val="24"/>
              </w:rPr>
              <w:t>Stage Two: This stage is the evaluation of mini-competitions</w:t>
            </w:r>
            <w:r>
              <w:rPr>
                <w:rFonts w:ascii="Arial" w:hAnsi="Arial" w:cs="Arial"/>
                <w:sz w:val="24"/>
                <w:szCs w:val="24"/>
              </w:rPr>
              <w:t xml:space="preserve"> </w:t>
            </w:r>
            <w:r w:rsidRPr="00853DFB">
              <w:rPr>
                <w:rFonts w:ascii="Arial" w:hAnsi="Arial" w:cs="Arial"/>
                <w:sz w:val="24"/>
                <w:szCs w:val="24"/>
              </w:rPr>
              <w:t xml:space="preserve">for </w:t>
            </w:r>
            <w:r>
              <w:rPr>
                <w:rFonts w:ascii="Arial" w:hAnsi="Arial" w:cs="Arial"/>
                <w:sz w:val="24"/>
                <w:szCs w:val="24"/>
              </w:rPr>
              <w:t>specific projects or customers.</w:t>
            </w:r>
          </w:p>
          <w:p w:rsidR="00BB0EC1" w:rsidRDefault="007C21A3" w:rsidP="00672D79">
            <w:pPr>
              <w:spacing w:after="60"/>
              <w:jc w:val="both"/>
              <w:rPr>
                <w:rFonts w:ascii="Arial" w:hAnsi="Arial" w:cs="Arial"/>
                <w:sz w:val="24"/>
                <w:szCs w:val="24"/>
              </w:rPr>
            </w:pPr>
            <w:r w:rsidRPr="00E557A5">
              <w:rPr>
                <w:rFonts w:ascii="Arial" w:hAnsi="Arial" w:cs="Arial"/>
                <w:sz w:val="24"/>
                <w:szCs w:val="24"/>
              </w:rPr>
              <w:t>All suppliers that pass Stage One are inv</w:t>
            </w:r>
            <w:r w:rsidRPr="00E557A5">
              <w:rPr>
                <w:rFonts w:ascii="Arial" w:hAnsi="Arial" w:cs="Arial"/>
                <w:sz w:val="24"/>
                <w:szCs w:val="24"/>
              </w:rPr>
              <w:t>ited to submit a bid for mini-competitions as and when they are tendered. The Council will evaluate all mini-competitions according to 'most economically advantageous tender' (MEAT) criteria.</w:t>
            </w:r>
            <w:r>
              <w:rPr>
                <w:rFonts w:ascii="Arial" w:hAnsi="Arial" w:cs="Arial"/>
                <w:sz w:val="24"/>
                <w:szCs w:val="24"/>
              </w:rPr>
              <w:t xml:space="preserve"> This may be on the basis of lowest price or on the basis of a pr</w:t>
            </w:r>
            <w:r>
              <w:rPr>
                <w:rFonts w:ascii="Arial" w:hAnsi="Arial" w:cs="Arial"/>
                <w:sz w:val="24"/>
                <w:szCs w:val="24"/>
              </w:rPr>
              <w:t>ice/quality ratio where it is deemed necessary to do so.</w:t>
            </w:r>
          </w:p>
          <w:p w:rsidR="00BB0EC1" w:rsidRPr="003B5894" w:rsidRDefault="007C21A3" w:rsidP="00672D79">
            <w:pPr>
              <w:spacing w:after="60"/>
              <w:jc w:val="both"/>
              <w:rPr>
                <w:rFonts w:ascii="Arial" w:hAnsi="Arial" w:cs="Arial"/>
                <w:sz w:val="24"/>
                <w:szCs w:val="24"/>
              </w:rPr>
            </w:pPr>
            <w:r w:rsidRPr="00E557A5">
              <w:rPr>
                <w:rFonts w:ascii="Arial" w:hAnsi="Arial" w:cs="Arial"/>
                <w:sz w:val="24"/>
                <w:szCs w:val="24"/>
              </w:rPr>
              <w:t xml:space="preserve">Due to the nature of the supply base (many SMEs) and the nature of the </w:t>
            </w:r>
            <w:r>
              <w:rPr>
                <w:rFonts w:ascii="Arial" w:hAnsi="Arial" w:cs="Arial"/>
                <w:sz w:val="24"/>
                <w:szCs w:val="24"/>
              </w:rPr>
              <w:t>services</w:t>
            </w:r>
            <w:r w:rsidRPr="00E557A5">
              <w:rPr>
                <w:rFonts w:ascii="Arial" w:hAnsi="Arial" w:cs="Arial"/>
                <w:sz w:val="24"/>
                <w:szCs w:val="24"/>
              </w:rPr>
              <w:t xml:space="preserve"> (the majority </w:t>
            </w:r>
            <w:r>
              <w:rPr>
                <w:rFonts w:ascii="Arial" w:hAnsi="Arial" w:cs="Arial"/>
                <w:sz w:val="24"/>
                <w:szCs w:val="24"/>
              </w:rPr>
              <w:t xml:space="preserve">of individual contracts are valued between </w:t>
            </w:r>
            <w:r w:rsidRPr="00E557A5">
              <w:rPr>
                <w:rFonts w:ascii="Arial" w:hAnsi="Arial" w:cs="Arial"/>
                <w:sz w:val="24"/>
                <w:szCs w:val="24"/>
              </w:rPr>
              <w:t>£1,000-10,000 per</w:t>
            </w:r>
            <w:r>
              <w:rPr>
                <w:rFonts w:ascii="Arial" w:hAnsi="Arial" w:cs="Arial"/>
                <w:sz w:val="24"/>
                <w:szCs w:val="24"/>
              </w:rPr>
              <w:t xml:space="preserve"> annum</w:t>
            </w:r>
            <w:r w:rsidRPr="00E557A5">
              <w:rPr>
                <w:rFonts w:ascii="Arial" w:hAnsi="Arial" w:cs="Arial"/>
                <w:sz w:val="24"/>
                <w:szCs w:val="24"/>
              </w:rPr>
              <w:t xml:space="preserve">), social value is not </w:t>
            </w:r>
            <w:r>
              <w:rPr>
                <w:rFonts w:ascii="Arial" w:hAnsi="Arial" w:cs="Arial"/>
                <w:sz w:val="24"/>
                <w:szCs w:val="24"/>
              </w:rPr>
              <w:t xml:space="preserve">likely to be </w:t>
            </w:r>
            <w:r w:rsidRPr="00E557A5">
              <w:rPr>
                <w:rFonts w:ascii="Arial" w:hAnsi="Arial" w:cs="Arial"/>
                <w:sz w:val="24"/>
                <w:szCs w:val="24"/>
              </w:rPr>
              <w:t>incorporated into the evaluation.</w:t>
            </w:r>
          </w:p>
        </w:tc>
      </w:tr>
      <w:tr w:rsidR="00BF1B0F" w:rsidTr="00672D79">
        <w:trPr>
          <w:trHeight w:val="699"/>
        </w:trPr>
        <w:tc>
          <w:tcPr>
            <w:tcW w:w="9016" w:type="dxa"/>
            <w:shd w:val="clear" w:color="auto" w:fill="auto"/>
          </w:tcPr>
          <w:p w:rsidR="00BB0EC1" w:rsidRDefault="007C21A3" w:rsidP="00672D79">
            <w:pPr>
              <w:spacing w:after="120"/>
              <w:jc w:val="both"/>
              <w:rPr>
                <w:rFonts w:ascii="Arial" w:hAnsi="Arial" w:cs="Arial"/>
                <w:b/>
                <w:sz w:val="24"/>
                <w:szCs w:val="24"/>
              </w:rPr>
            </w:pPr>
            <w:r w:rsidRPr="00BD79A1">
              <w:rPr>
                <w:rFonts w:ascii="Arial" w:hAnsi="Arial" w:cs="Arial"/>
                <w:b/>
                <w:sz w:val="24"/>
                <w:szCs w:val="24"/>
              </w:rPr>
              <w:lastRenderedPageBreak/>
              <w:t>Contract Detail</w:t>
            </w:r>
          </w:p>
          <w:p w:rsidR="00BB0EC1" w:rsidRPr="00C57E64" w:rsidRDefault="007C21A3" w:rsidP="00672D79">
            <w:pPr>
              <w:spacing w:after="60"/>
              <w:jc w:val="both"/>
              <w:rPr>
                <w:rFonts w:ascii="Arial" w:hAnsi="Arial" w:cs="Arial"/>
                <w:sz w:val="24"/>
                <w:szCs w:val="24"/>
              </w:rPr>
            </w:pPr>
            <w:r>
              <w:rPr>
                <w:rFonts w:ascii="Arial" w:hAnsi="Arial" w:cs="Arial"/>
                <w:sz w:val="24"/>
                <w:szCs w:val="24"/>
              </w:rPr>
              <w:t>The Council's</w:t>
            </w:r>
            <w:r w:rsidRPr="00C57E64">
              <w:rPr>
                <w:rFonts w:ascii="Arial" w:hAnsi="Arial" w:cs="Arial"/>
                <w:sz w:val="24"/>
                <w:szCs w:val="24"/>
              </w:rPr>
              <w:t xml:space="preserve"> Design &amp; Construction Service provides a service to many </w:t>
            </w:r>
            <w:r>
              <w:rPr>
                <w:rFonts w:ascii="Arial" w:hAnsi="Arial" w:cs="Arial"/>
                <w:sz w:val="24"/>
                <w:szCs w:val="24"/>
              </w:rPr>
              <w:t>educational establishments</w:t>
            </w:r>
            <w:r w:rsidRPr="00C57E64">
              <w:rPr>
                <w:rFonts w:ascii="Arial" w:hAnsi="Arial" w:cs="Arial"/>
                <w:sz w:val="24"/>
                <w:szCs w:val="24"/>
              </w:rPr>
              <w:t xml:space="preserve"> and Fire &amp; Rescue Services throughout Lancashire. This may expand to the Police in the future. The service includes conducting procurement activity for these clients, putting in place contracts for services, and then managing these contracts on the client</w:t>
            </w:r>
            <w:r w:rsidRPr="00C57E64">
              <w:rPr>
                <w:rFonts w:ascii="Arial" w:hAnsi="Arial" w:cs="Arial"/>
                <w:sz w:val="24"/>
                <w:szCs w:val="24"/>
              </w:rPr>
              <w:t xml:space="preserve">'s behalf. </w:t>
            </w:r>
          </w:p>
          <w:p w:rsidR="00BB0EC1" w:rsidRPr="00C57E64" w:rsidRDefault="007C21A3" w:rsidP="00672D79">
            <w:pPr>
              <w:spacing w:after="60"/>
              <w:jc w:val="both"/>
              <w:rPr>
                <w:rFonts w:ascii="Arial" w:hAnsi="Arial" w:cs="Arial"/>
                <w:sz w:val="24"/>
                <w:szCs w:val="24"/>
              </w:rPr>
            </w:pPr>
            <w:r>
              <w:rPr>
                <w:rFonts w:ascii="Arial" w:hAnsi="Arial" w:cs="Arial"/>
                <w:sz w:val="24"/>
                <w:szCs w:val="24"/>
              </w:rPr>
              <w:t>Grounds maintenance contracts are procured every year on behalf of clients</w:t>
            </w:r>
            <w:r w:rsidRPr="00C57E64">
              <w:rPr>
                <w:rFonts w:ascii="Arial" w:hAnsi="Arial" w:cs="Arial"/>
                <w:sz w:val="24"/>
                <w:szCs w:val="24"/>
              </w:rPr>
              <w:t>.</w:t>
            </w:r>
            <w:r>
              <w:rPr>
                <w:rFonts w:ascii="Arial" w:hAnsi="Arial" w:cs="Arial"/>
                <w:sz w:val="24"/>
                <w:szCs w:val="24"/>
              </w:rPr>
              <w:t xml:space="preserve"> The number of clients each year is approximately 80-120 and each client will have their own contract.</w:t>
            </w:r>
            <w:r w:rsidRPr="00C57E64">
              <w:rPr>
                <w:rFonts w:ascii="Arial" w:hAnsi="Arial" w:cs="Arial"/>
                <w:sz w:val="24"/>
                <w:szCs w:val="24"/>
              </w:rPr>
              <w:t xml:space="preserve"> </w:t>
            </w:r>
            <w:r>
              <w:rPr>
                <w:rFonts w:ascii="Arial" w:hAnsi="Arial" w:cs="Arial"/>
                <w:sz w:val="24"/>
                <w:szCs w:val="24"/>
              </w:rPr>
              <w:t>The process</w:t>
            </w:r>
            <w:r w:rsidRPr="00C57E64">
              <w:rPr>
                <w:rFonts w:ascii="Arial" w:hAnsi="Arial" w:cs="Arial"/>
                <w:sz w:val="24"/>
                <w:szCs w:val="24"/>
              </w:rPr>
              <w:t xml:space="preserve"> creates a large administrative burden on all parties i</w:t>
            </w:r>
            <w:r w:rsidRPr="00C57E64">
              <w:rPr>
                <w:rFonts w:ascii="Arial" w:hAnsi="Arial" w:cs="Arial"/>
                <w:sz w:val="24"/>
                <w:szCs w:val="24"/>
              </w:rPr>
              <w:t>nvolved, as each tender involves numerous documents, advertisements, time pressures, and repetitive evaluation procedures.</w:t>
            </w:r>
          </w:p>
          <w:p w:rsidR="00BB0EC1" w:rsidRPr="00C57E64" w:rsidRDefault="007C21A3" w:rsidP="00672D79">
            <w:pPr>
              <w:spacing w:after="60"/>
              <w:jc w:val="both"/>
              <w:rPr>
                <w:rFonts w:ascii="Arial" w:hAnsi="Arial" w:cs="Arial"/>
                <w:sz w:val="24"/>
                <w:szCs w:val="24"/>
              </w:rPr>
            </w:pPr>
            <w:r w:rsidRPr="00C57E64">
              <w:rPr>
                <w:rFonts w:ascii="Arial" w:hAnsi="Arial" w:cs="Arial"/>
                <w:sz w:val="24"/>
                <w:szCs w:val="24"/>
              </w:rPr>
              <w:t xml:space="preserve">A </w:t>
            </w:r>
            <w:r>
              <w:rPr>
                <w:rFonts w:ascii="Arial" w:hAnsi="Arial" w:cs="Arial"/>
                <w:sz w:val="24"/>
                <w:szCs w:val="24"/>
              </w:rPr>
              <w:t>DPS</w:t>
            </w:r>
            <w:r w:rsidRPr="00C57E64">
              <w:rPr>
                <w:rFonts w:ascii="Arial" w:hAnsi="Arial" w:cs="Arial"/>
                <w:sz w:val="24"/>
                <w:szCs w:val="24"/>
              </w:rPr>
              <w:t xml:space="preserve"> </w:t>
            </w:r>
            <w:r>
              <w:rPr>
                <w:rFonts w:ascii="Arial" w:hAnsi="Arial" w:cs="Arial"/>
                <w:sz w:val="24"/>
                <w:szCs w:val="24"/>
              </w:rPr>
              <w:t>will</w:t>
            </w:r>
            <w:r w:rsidRPr="00C57E64">
              <w:rPr>
                <w:rFonts w:ascii="Arial" w:hAnsi="Arial" w:cs="Arial"/>
                <w:sz w:val="24"/>
                <w:szCs w:val="24"/>
              </w:rPr>
              <w:t xml:space="preserve"> mitigate many of these issues by reducing the amount of paperwork for each tender for all parties. Resource freed up by th</w:t>
            </w:r>
            <w:r w:rsidRPr="00C57E64">
              <w:rPr>
                <w:rFonts w:ascii="Arial" w:hAnsi="Arial" w:cs="Arial"/>
                <w:sz w:val="24"/>
                <w:szCs w:val="24"/>
              </w:rPr>
              <w:t xml:space="preserve">e Design &amp; Construction and Procurement Services </w:t>
            </w:r>
            <w:r>
              <w:rPr>
                <w:rFonts w:ascii="Arial" w:hAnsi="Arial" w:cs="Arial"/>
                <w:sz w:val="24"/>
                <w:szCs w:val="24"/>
              </w:rPr>
              <w:t>may</w:t>
            </w:r>
            <w:r w:rsidRPr="00C57E64">
              <w:rPr>
                <w:rFonts w:ascii="Arial" w:hAnsi="Arial" w:cs="Arial"/>
                <w:sz w:val="24"/>
                <w:szCs w:val="24"/>
              </w:rPr>
              <w:t xml:space="preserve"> be used to further develop the overall service offer (for example, working </w:t>
            </w:r>
            <w:r>
              <w:rPr>
                <w:rFonts w:ascii="Arial" w:hAnsi="Arial" w:cs="Arial"/>
                <w:sz w:val="24"/>
                <w:szCs w:val="24"/>
              </w:rPr>
              <w:t>more closely</w:t>
            </w:r>
            <w:r w:rsidRPr="00C57E64">
              <w:rPr>
                <w:rFonts w:ascii="Arial" w:hAnsi="Arial" w:cs="Arial"/>
                <w:sz w:val="24"/>
                <w:szCs w:val="24"/>
              </w:rPr>
              <w:t xml:space="preserve"> with a number of </w:t>
            </w:r>
            <w:r>
              <w:rPr>
                <w:rFonts w:ascii="Arial" w:hAnsi="Arial" w:cs="Arial"/>
                <w:sz w:val="24"/>
                <w:szCs w:val="24"/>
              </w:rPr>
              <w:t>Grounds Maintenance suppliers</w:t>
            </w:r>
            <w:r w:rsidRPr="00C57E64">
              <w:rPr>
                <w:rFonts w:ascii="Arial" w:hAnsi="Arial" w:cs="Arial"/>
                <w:sz w:val="24"/>
                <w:szCs w:val="24"/>
              </w:rPr>
              <w:t xml:space="preserve"> to enhance the quality of services).</w:t>
            </w:r>
          </w:p>
          <w:p w:rsidR="00BB0EC1" w:rsidRPr="00C57E64" w:rsidRDefault="007C21A3" w:rsidP="00672D79">
            <w:pPr>
              <w:spacing w:after="60"/>
              <w:jc w:val="both"/>
              <w:rPr>
                <w:rFonts w:ascii="Arial" w:hAnsi="Arial" w:cs="Arial"/>
                <w:sz w:val="24"/>
                <w:szCs w:val="24"/>
              </w:rPr>
            </w:pPr>
            <w:r w:rsidRPr="00C57E64">
              <w:rPr>
                <w:rFonts w:ascii="Arial" w:hAnsi="Arial" w:cs="Arial"/>
                <w:sz w:val="24"/>
                <w:szCs w:val="24"/>
              </w:rPr>
              <w:t xml:space="preserve">The intention </w:t>
            </w:r>
            <w:r>
              <w:rPr>
                <w:rFonts w:ascii="Arial" w:hAnsi="Arial" w:cs="Arial"/>
                <w:sz w:val="24"/>
                <w:szCs w:val="24"/>
              </w:rPr>
              <w:t>is to establish a</w:t>
            </w:r>
            <w:r>
              <w:rPr>
                <w:rFonts w:ascii="Arial" w:hAnsi="Arial" w:cs="Arial"/>
                <w:sz w:val="24"/>
                <w:szCs w:val="24"/>
              </w:rPr>
              <w:t xml:space="preserve"> DPS with a good number of suppliers, including local SMEs, who will be easily able to join the DPS and bid for Grounds Maintenance contracts as and when they are advertised.</w:t>
            </w:r>
          </w:p>
          <w:p w:rsidR="00BB0EC1" w:rsidRDefault="007C21A3" w:rsidP="00672D79">
            <w:pPr>
              <w:spacing w:after="120"/>
              <w:jc w:val="both"/>
              <w:rPr>
                <w:rFonts w:ascii="Arial" w:hAnsi="Arial" w:cs="Arial"/>
                <w:b/>
                <w:sz w:val="24"/>
                <w:szCs w:val="24"/>
              </w:rPr>
            </w:pPr>
            <w:r>
              <w:rPr>
                <w:rFonts w:ascii="Arial" w:hAnsi="Arial" w:cs="Arial"/>
                <w:b/>
                <w:sz w:val="24"/>
                <w:szCs w:val="24"/>
              </w:rPr>
              <w:t>Review of Third Party Frameworks and DPS Agreements</w:t>
            </w:r>
          </w:p>
          <w:p w:rsidR="00BB0EC1" w:rsidRPr="003B5894" w:rsidRDefault="007C21A3" w:rsidP="00672D79">
            <w:pPr>
              <w:spacing w:after="60"/>
              <w:jc w:val="both"/>
            </w:pPr>
            <w:r>
              <w:rPr>
                <w:rFonts w:ascii="Arial" w:hAnsi="Arial" w:cs="Arial"/>
                <w:sz w:val="24"/>
                <w:szCs w:val="24"/>
              </w:rPr>
              <w:t>There are limited number of t</w:t>
            </w:r>
            <w:r>
              <w:rPr>
                <w:rFonts w:ascii="Arial" w:hAnsi="Arial" w:cs="Arial"/>
                <w:sz w:val="24"/>
                <w:szCs w:val="24"/>
              </w:rPr>
              <w:t>hird party agreements with Grounds Maintenance Services available. However, the use of a third party agreements may exclude the majority of the local suppliers who currently deliver services to clients. The DPS is open for suppliers to join at any point an</w:t>
            </w:r>
            <w:r>
              <w:rPr>
                <w:rFonts w:ascii="Arial" w:hAnsi="Arial" w:cs="Arial"/>
                <w:sz w:val="24"/>
                <w:szCs w:val="24"/>
              </w:rPr>
              <w:t>d is simple to join, thereby encouraging the involvement of SMEs and new companies. In addition, the use of third party agreements is not generally compatible with Design and Construction's traded service offer.</w:t>
            </w:r>
          </w:p>
        </w:tc>
      </w:tr>
    </w:tbl>
    <w:p w:rsidR="00BB0EC1" w:rsidRDefault="007C21A3"/>
    <w:p w:rsidR="00BB0EC1" w:rsidRDefault="007C21A3">
      <w:r>
        <w:br w:type="page"/>
      </w:r>
    </w:p>
    <w:tbl>
      <w:tblPr>
        <w:tblStyle w:val="TableGrid"/>
        <w:tblW w:w="0" w:type="auto"/>
        <w:tblLook w:val="04A0" w:firstRow="1" w:lastRow="0" w:firstColumn="1" w:lastColumn="0" w:noHBand="0" w:noVBand="1"/>
      </w:tblPr>
      <w:tblGrid>
        <w:gridCol w:w="9016"/>
      </w:tblGrid>
      <w:tr w:rsidR="00BF1B0F" w:rsidTr="00BB0EC1">
        <w:tc>
          <w:tcPr>
            <w:tcW w:w="9016" w:type="dxa"/>
            <w:tcBorders>
              <w:top w:val="single" w:sz="4" w:space="0" w:color="auto"/>
              <w:left w:val="single" w:sz="4" w:space="0" w:color="auto"/>
              <w:bottom w:val="single" w:sz="4" w:space="0" w:color="auto"/>
              <w:right w:val="single" w:sz="4" w:space="0" w:color="auto"/>
            </w:tcBorders>
            <w:hideMark/>
          </w:tcPr>
          <w:p w:rsidR="00BB0EC1" w:rsidRDefault="007C21A3">
            <w:pPr>
              <w:rPr>
                <w:rFonts w:ascii="Arial" w:hAnsi="Arial" w:cs="Arial"/>
                <w:b/>
                <w:sz w:val="24"/>
              </w:rPr>
            </w:pPr>
            <w:r>
              <w:rPr>
                <w:rFonts w:ascii="Arial" w:hAnsi="Arial" w:cs="Arial"/>
                <w:b/>
                <w:sz w:val="24"/>
              </w:rPr>
              <w:lastRenderedPageBreak/>
              <w:t>Procurement Title:</w:t>
            </w:r>
          </w:p>
          <w:p w:rsidR="00BB0EC1" w:rsidRDefault="007C21A3">
            <w:pPr>
              <w:rPr>
                <w:rFonts w:ascii="Arial" w:hAnsi="Arial" w:cs="Arial"/>
                <w:sz w:val="24"/>
              </w:rPr>
            </w:pPr>
            <w:r>
              <w:rPr>
                <w:rFonts w:ascii="Arial" w:hAnsi="Arial" w:cs="Arial"/>
                <w:sz w:val="24"/>
              </w:rPr>
              <w:t xml:space="preserve">The Provision of </w:t>
            </w:r>
            <w:r>
              <w:rPr>
                <w:rFonts w:ascii="Arial" w:hAnsi="Arial" w:cs="Arial"/>
                <w:sz w:val="24"/>
              </w:rPr>
              <w:t>Services for the Collection, Transportation, Treatment and Recovery of Waste Electrical &amp; Electronic Equipment (WEEE) and Household Batteries</w:t>
            </w:r>
          </w:p>
        </w:tc>
      </w:tr>
      <w:tr w:rsidR="00BF1B0F" w:rsidTr="00BB0EC1">
        <w:tc>
          <w:tcPr>
            <w:tcW w:w="9016" w:type="dxa"/>
            <w:tcBorders>
              <w:top w:val="single" w:sz="4" w:space="0" w:color="auto"/>
              <w:left w:val="single" w:sz="4" w:space="0" w:color="auto"/>
              <w:bottom w:val="single" w:sz="4" w:space="0" w:color="auto"/>
              <w:right w:val="single" w:sz="4" w:space="0" w:color="auto"/>
            </w:tcBorders>
            <w:hideMark/>
          </w:tcPr>
          <w:p w:rsidR="00BB0EC1" w:rsidRDefault="007C21A3">
            <w:pPr>
              <w:rPr>
                <w:rFonts w:ascii="Arial" w:hAnsi="Arial" w:cs="Arial"/>
                <w:b/>
                <w:sz w:val="24"/>
              </w:rPr>
            </w:pPr>
            <w:r>
              <w:rPr>
                <w:rFonts w:ascii="Arial" w:hAnsi="Arial" w:cs="Arial"/>
                <w:b/>
                <w:sz w:val="24"/>
              </w:rPr>
              <w:t>Procurement Option:</w:t>
            </w:r>
          </w:p>
          <w:p w:rsidR="00BB0EC1" w:rsidRDefault="007C21A3">
            <w:pPr>
              <w:rPr>
                <w:rFonts w:ascii="Arial" w:hAnsi="Arial" w:cs="Arial"/>
                <w:sz w:val="24"/>
              </w:rPr>
            </w:pPr>
            <w:r>
              <w:rPr>
                <w:rFonts w:ascii="Arial" w:hAnsi="Arial" w:cs="Arial"/>
                <w:sz w:val="24"/>
              </w:rPr>
              <w:t>Concession Contract</w:t>
            </w:r>
          </w:p>
        </w:tc>
      </w:tr>
      <w:tr w:rsidR="00BF1B0F" w:rsidTr="00BB0EC1">
        <w:tc>
          <w:tcPr>
            <w:tcW w:w="9016" w:type="dxa"/>
            <w:tcBorders>
              <w:top w:val="single" w:sz="4" w:space="0" w:color="auto"/>
              <w:left w:val="single" w:sz="4" w:space="0" w:color="auto"/>
              <w:bottom w:val="single" w:sz="4" w:space="0" w:color="auto"/>
              <w:right w:val="single" w:sz="4" w:space="0" w:color="auto"/>
            </w:tcBorders>
            <w:hideMark/>
          </w:tcPr>
          <w:p w:rsidR="00BB0EC1" w:rsidRDefault="007C21A3">
            <w:pPr>
              <w:rPr>
                <w:rFonts w:ascii="Arial" w:hAnsi="Arial" w:cs="Arial"/>
                <w:b/>
                <w:sz w:val="24"/>
              </w:rPr>
            </w:pPr>
            <w:r>
              <w:rPr>
                <w:rFonts w:ascii="Arial" w:hAnsi="Arial" w:cs="Arial"/>
                <w:b/>
                <w:sz w:val="24"/>
              </w:rPr>
              <w:t>New or Existing Provision:</w:t>
            </w:r>
          </w:p>
          <w:p w:rsidR="00BB0EC1" w:rsidRDefault="007C21A3">
            <w:pPr>
              <w:rPr>
                <w:rFonts w:ascii="Arial" w:hAnsi="Arial" w:cs="Arial"/>
                <w:sz w:val="24"/>
              </w:rPr>
            </w:pPr>
            <w:r>
              <w:rPr>
                <w:rFonts w:ascii="Arial" w:hAnsi="Arial" w:cs="Arial"/>
                <w:sz w:val="24"/>
              </w:rPr>
              <w:t xml:space="preserve">Existing. Current contract expires on 31/03/2021 with no further extensions available. </w:t>
            </w:r>
          </w:p>
        </w:tc>
      </w:tr>
      <w:tr w:rsidR="00BF1B0F" w:rsidTr="00BB0EC1">
        <w:tc>
          <w:tcPr>
            <w:tcW w:w="9016" w:type="dxa"/>
            <w:tcBorders>
              <w:top w:val="single" w:sz="4" w:space="0" w:color="auto"/>
              <w:left w:val="single" w:sz="4" w:space="0" w:color="auto"/>
              <w:bottom w:val="single" w:sz="4" w:space="0" w:color="auto"/>
              <w:right w:val="single" w:sz="4" w:space="0" w:color="auto"/>
            </w:tcBorders>
            <w:hideMark/>
          </w:tcPr>
          <w:p w:rsidR="00BB0EC1" w:rsidRDefault="007C21A3">
            <w:pPr>
              <w:rPr>
                <w:rFonts w:ascii="Arial" w:hAnsi="Arial" w:cs="Arial"/>
                <w:b/>
                <w:sz w:val="24"/>
              </w:rPr>
            </w:pPr>
            <w:r>
              <w:rPr>
                <w:rFonts w:ascii="Arial" w:hAnsi="Arial" w:cs="Arial"/>
                <w:b/>
                <w:sz w:val="24"/>
              </w:rPr>
              <w:t>Estimated Annual Contract Value and Funding Arrangements:</w:t>
            </w:r>
          </w:p>
          <w:p w:rsidR="00BB0EC1" w:rsidRDefault="007C21A3">
            <w:pPr>
              <w:rPr>
                <w:rFonts w:ascii="Arial" w:hAnsi="Arial" w:cs="Arial"/>
                <w:sz w:val="24"/>
              </w:rPr>
            </w:pPr>
            <w:r>
              <w:rPr>
                <w:rFonts w:ascii="Arial" w:hAnsi="Arial" w:cs="Arial"/>
                <w:sz w:val="24"/>
              </w:rPr>
              <w:t>The successful tenderer will provide the services under a cost neutral operation and will have taken into con</w:t>
            </w:r>
            <w:r>
              <w:rPr>
                <w:rFonts w:ascii="Arial" w:hAnsi="Arial" w:cs="Arial"/>
                <w:sz w:val="24"/>
              </w:rPr>
              <w:t xml:space="preserve">sideration all costs or fees whatsoever associated with its management and delivery of the services required under the specifications of the contract. </w:t>
            </w:r>
          </w:p>
          <w:p w:rsidR="00BB0EC1" w:rsidRDefault="007C21A3">
            <w:pPr>
              <w:rPr>
                <w:rFonts w:ascii="Arial" w:hAnsi="Arial" w:cs="Arial"/>
                <w:sz w:val="24"/>
              </w:rPr>
            </w:pPr>
            <w:r>
              <w:rPr>
                <w:rFonts w:ascii="Arial" w:hAnsi="Arial" w:cs="Arial"/>
                <w:sz w:val="24"/>
              </w:rPr>
              <w:t>For the avoidance of doubt the council shall incur no costs whatsoever for the provision of the services</w:t>
            </w:r>
            <w:r>
              <w:rPr>
                <w:rFonts w:ascii="Arial" w:hAnsi="Arial" w:cs="Arial"/>
                <w:sz w:val="24"/>
              </w:rPr>
              <w:t xml:space="preserve"> under this Agreement.</w:t>
            </w:r>
          </w:p>
        </w:tc>
      </w:tr>
      <w:tr w:rsidR="00BF1B0F" w:rsidTr="00BB0EC1">
        <w:tc>
          <w:tcPr>
            <w:tcW w:w="9016" w:type="dxa"/>
            <w:tcBorders>
              <w:top w:val="single" w:sz="4" w:space="0" w:color="auto"/>
              <w:left w:val="single" w:sz="4" w:space="0" w:color="auto"/>
              <w:bottom w:val="single" w:sz="4" w:space="0" w:color="auto"/>
              <w:right w:val="single" w:sz="4" w:space="0" w:color="auto"/>
            </w:tcBorders>
            <w:hideMark/>
          </w:tcPr>
          <w:p w:rsidR="00BB0EC1" w:rsidRDefault="007C21A3">
            <w:pPr>
              <w:rPr>
                <w:rFonts w:ascii="Arial" w:hAnsi="Arial" w:cs="Arial"/>
                <w:b/>
                <w:sz w:val="24"/>
              </w:rPr>
            </w:pPr>
            <w:r>
              <w:rPr>
                <w:rFonts w:ascii="Arial" w:hAnsi="Arial" w:cs="Arial"/>
                <w:b/>
                <w:sz w:val="24"/>
              </w:rPr>
              <w:t>Contract Duration:</w:t>
            </w:r>
          </w:p>
          <w:p w:rsidR="00BB0EC1" w:rsidRDefault="007C21A3">
            <w:pPr>
              <w:rPr>
                <w:rFonts w:ascii="Arial" w:hAnsi="Arial" w:cs="Arial"/>
                <w:sz w:val="24"/>
              </w:rPr>
            </w:pPr>
            <w:r>
              <w:rPr>
                <w:rFonts w:ascii="Arial" w:hAnsi="Arial" w:cs="Arial"/>
                <w:sz w:val="24"/>
              </w:rPr>
              <w:t>The agreement shall commence on 1</w:t>
            </w:r>
            <w:r>
              <w:rPr>
                <w:rFonts w:ascii="Arial" w:hAnsi="Arial" w:cs="Arial"/>
                <w:sz w:val="24"/>
                <w:vertAlign w:val="superscript"/>
              </w:rPr>
              <w:t>st</w:t>
            </w:r>
            <w:r>
              <w:rPr>
                <w:rFonts w:ascii="Arial" w:hAnsi="Arial" w:cs="Arial"/>
                <w:sz w:val="24"/>
              </w:rPr>
              <w:t xml:space="preserve"> April 2021 and shall continue until 31 March 2024.</w:t>
            </w:r>
          </w:p>
          <w:p w:rsidR="00BB0EC1" w:rsidRDefault="007C21A3">
            <w:pPr>
              <w:rPr>
                <w:rFonts w:ascii="Arial" w:hAnsi="Arial" w:cs="Arial"/>
                <w:sz w:val="24"/>
              </w:rPr>
            </w:pPr>
            <w:r>
              <w:rPr>
                <w:rFonts w:ascii="Arial" w:hAnsi="Arial" w:cs="Arial"/>
                <w:sz w:val="24"/>
              </w:rPr>
              <w:t xml:space="preserve">The council may extend this Agreement from the end of the Contract Period on an annual basis for further periods of 12 Months </w:t>
            </w:r>
            <w:r>
              <w:rPr>
                <w:rFonts w:ascii="Arial" w:hAnsi="Arial" w:cs="Arial"/>
                <w:sz w:val="24"/>
              </w:rPr>
              <w:t>(or part thereof) up to a maximum of two years as follows:</w:t>
            </w:r>
          </w:p>
          <w:p w:rsidR="00BB0EC1" w:rsidRDefault="007C21A3">
            <w:pPr>
              <w:rPr>
                <w:rFonts w:ascii="Arial" w:hAnsi="Arial" w:cs="Arial"/>
                <w:sz w:val="24"/>
              </w:rPr>
            </w:pPr>
            <w:r>
              <w:rPr>
                <w:rFonts w:ascii="Arial" w:hAnsi="Arial" w:cs="Arial"/>
                <w:sz w:val="24"/>
              </w:rPr>
              <w:t>1 April 2024 and ending no later than 31 March 2025; and</w:t>
            </w:r>
          </w:p>
          <w:p w:rsidR="00BB0EC1" w:rsidRDefault="007C21A3">
            <w:pPr>
              <w:rPr>
                <w:rFonts w:ascii="Arial" w:hAnsi="Arial" w:cs="Arial"/>
                <w:sz w:val="24"/>
              </w:rPr>
            </w:pPr>
            <w:r>
              <w:rPr>
                <w:rFonts w:ascii="Arial" w:hAnsi="Arial" w:cs="Arial"/>
                <w:sz w:val="24"/>
              </w:rPr>
              <w:t>1 April 2025 and ending no later than 31 March 2026.</w:t>
            </w:r>
          </w:p>
        </w:tc>
      </w:tr>
      <w:tr w:rsidR="00BF1B0F" w:rsidTr="00BB0EC1">
        <w:tc>
          <w:tcPr>
            <w:tcW w:w="9016" w:type="dxa"/>
            <w:tcBorders>
              <w:top w:val="single" w:sz="4" w:space="0" w:color="auto"/>
              <w:left w:val="single" w:sz="4" w:space="0" w:color="auto"/>
              <w:bottom w:val="single" w:sz="4" w:space="0" w:color="auto"/>
              <w:right w:val="single" w:sz="4" w:space="0" w:color="auto"/>
            </w:tcBorders>
            <w:hideMark/>
          </w:tcPr>
          <w:p w:rsidR="00BB0EC1" w:rsidRDefault="007C21A3">
            <w:pPr>
              <w:rPr>
                <w:rFonts w:ascii="Arial" w:hAnsi="Arial" w:cs="Arial"/>
                <w:b/>
                <w:sz w:val="24"/>
              </w:rPr>
            </w:pPr>
            <w:r>
              <w:rPr>
                <w:rFonts w:ascii="Arial" w:hAnsi="Arial" w:cs="Arial"/>
                <w:b/>
                <w:sz w:val="24"/>
              </w:rPr>
              <w:t>Lotting:</w:t>
            </w:r>
          </w:p>
          <w:p w:rsidR="00BB0EC1" w:rsidRDefault="007C21A3">
            <w:pPr>
              <w:rPr>
                <w:rFonts w:ascii="Arial" w:hAnsi="Arial" w:cs="Arial"/>
                <w:sz w:val="24"/>
              </w:rPr>
            </w:pPr>
            <w:r>
              <w:rPr>
                <w:rFonts w:ascii="Arial" w:hAnsi="Arial" w:cs="Arial"/>
                <w:sz w:val="24"/>
              </w:rPr>
              <w:t xml:space="preserve">N/A. In order to ensure consistent countywide service delivery, the contract </w:t>
            </w:r>
            <w:r>
              <w:rPr>
                <w:rFonts w:ascii="Arial" w:hAnsi="Arial" w:cs="Arial"/>
                <w:sz w:val="24"/>
              </w:rPr>
              <w:t xml:space="preserve">will not be lotted. </w:t>
            </w:r>
          </w:p>
        </w:tc>
      </w:tr>
      <w:tr w:rsidR="00BF1B0F" w:rsidTr="00BB0EC1">
        <w:tc>
          <w:tcPr>
            <w:tcW w:w="9016" w:type="dxa"/>
            <w:tcBorders>
              <w:top w:val="single" w:sz="4" w:space="0" w:color="auto"/>
              <w:left w:val="single" w:sz="4" w:space="0" w:color="auto"/>
              <w:bottom w:val="single" w:sz="4" w:space="0" w:color="auto"/>
              <w:right w:val="single" w:sz="4" w:space="0" w:color="auto"/>
            </w:tcBorders>
            <w:hideMark/>
          </w:tcPr>
          <w:p w:rsidR="00BB0EC1" w:rsidRDefault="007C21A3">
            <w:pPr>
              <w:rPr>
                <w:rFonts w:ascii="Arial" w:hAnsi="Arial" w:cs="Arial"/>
                <w:b/>
                <w:sz w:val="24"/>
              </w:rPr>
            </w:pPr>
            <w:r>
              <w:rPr>
                <w:rFonts w:ascii="Arial" w:hAnsi="Arial" w:cs="Arial"/>
                <w:b/>
                <w:sz w:val="24"/>
              </w:rPr>
              <w:t>Evaluation:</w:t>
            </w:r>
          </w:p>
          <w:p w:rsidR="00BB0EC1" w:rsidRDefault="007C21A3">
            <w:pPr>
              <w:rPr>
                <w:rFonts w:ascii="Arial" w:hAnsi="Arial" w:cs="Arial"/>
                <w:sz w:val="24"/>
              </w:rPr>
            </w:pPr>
            <w:r>
              <w:rPr>
                <w:rFonts w:ascii="Arial" w:hAnsi="Arial" w:cs="Arial"/>
                <w:sz w:val="24"/>
              </w:rPr>
              <w:t xml:space="preserve">The award of the contract is on the Most Economically Advantageous Tender (MEAT). Tenders will be evaluated in 2 stages. </w:t>
            </w:r>
          </w:p>
          <w:p w:rsidR="00BB0EC1" w:rsidRDefault="007C21A3">
            <w:pPr>
              <w:rPr>
                <w:rFonts w:ascii="Arial" w:hAnsi="Arial" w:cs="Arial"/>
                <w:sz w:val="24"/>
              </w:rPr>
            </w:pPr>
            <w:r>
              <w:rPr>
                <w:rFonts w:ascii="Arial" w:hAnsi="Arial" w:cs="Arial"/>
                <w:sz w:val="24"/>
              </w:rPr>
              <w:t>Stage 1: Acceptance or rejection of economic operator based on business standing, financial standing</w:t>
            </w:r>
            <w:r>
              <w:rPr>
                <w:rFonts w:ascii="Arial" w:hAnsi="Arial" w:cs="Arial"/>
                <w:sz w:val="24"/>
              </w:rPr>
              <w:t>, technical and professional ability.</w:t>
            </w:r>
          </w:p>
          <w:p w:rsidR="00BB0EC1" w:rsidRDefault="007C21A3">
            <w:pPr>
              <w:rPr>
                <w:rFonts w:ascii="Arial" w:hAnsi="Arial" w:cs="Arial"/>
                <w:sz w:val="24"/>
              </w:rPr>
            </w:pPr>
            <w:r>
              <w:rPr>
                <w:rFonts w:ascii="Arial" w:hAnsi="Arial" w:cs="Arial"/>
                <w:sz w:val="24"/>
              </w:rPr>
              <w:t xml:space="preserve">Stage 2: Evaluation against the specified award criteria evaluated on the basis of </w:t>
            </w:r>
          </w:p>
          <w:p w:rsidR="00BB0EC1" w:rsidRDefault="007C21A3">
            <w:pPr>
              <w:rPr>
                <w:rFonts w:ascii="Arial" w:hAnsi="Arial" w:cs="Arial"/>
                <w:sz w:val="24"/>
              </w:rPr>
            </w:pPr>
            <w:r>
              <w:rPr>
                <w:rFonts w:ascii="Arial" w:hAnsi="Arial" w:cs="Arial"/>
                <w:sz w:val="24"/>
              </w:rPr>
              <w:t xml:space="preserve">100% quality criteria (of which social value weighs 10%) </w:t>
            </w:r>
          </w:p>
        </w:tc>
      </w:tr>
      <w:tr w:rsidR="00BF1B0F" w:rsidTr="00BB0EC1">
        <w:tc>
          <w:tcPr>
            <w:tcW w:w="9016" w:type="dxa"/>
            <w:tcBorders>
              <w:top w:val="single" w:sz="4" w:space="0" w:color="auto"/>
              <w:left w:val="single" w:sz="4" w:space="0" w:color="auto"/>
              <w:bottom w:val="single" w:sz="4" w:space="0" w:color="auto"/>
              <w:right w:val="single" w:sz="4" w:space="0" w:color="auto"/>
            </w:tcBorders>
          </w:tcPr>
          <w:p w:rsidR="00BB0EC1" w:rsidRDefault="007C21A3">
            <w:pPr>
              <w:rPr>
                <w:rFonts w:ascii="Arial" w:hAnsi="Arial" w:cs="Arial"/>
                <w:b/>
                <w:sz w:val="24"/>
              </w:rPr>
            </w:pPr>
            <w:r>
              <w:rPr>
                <w:rFonts w:ascii="Arial" w:hAnsi="Arial" w:cs="Arial"/>
                <w:b/>
                <w:sz w:val="24"/>
              </w:rPr>
              <w:t>Contract Detail:</w:t>
            </w:r>
          </w:p>
          <w:p w:rsidR="00BB0EC1" w:rsidRDefault="007C21A3">
            <w:pPr>
              <w:rPr>
                <w:rFonts w:ascii="Arial" w:hAnsi="Arial" w:cs="Arial"/>
                <w:b/>
                <w:sz w:val="24"/>
              </w:rPr>
            </w:pPr>
            <w:r>
              <w:rPr>
                <w:rFonts w:ascii="Arial" w:hAnsi="Arial" w:cs="Arial"/>
                <w:sz w:val="24"/>
              </w:rPr>
              <w:t xml:space="preserve">The contract is for the collection, transportation, treatment, recovery and, where applicable, environmentally sound disposal services for the WEEE  which will be divided into the following WEEE Streams: </w:t>
            </w:r>
          </w:p>
          <w:p w:rsidR="00BB0EC1" w:rsidRDefault="007C21A3">
            <w:pPr>
              <w:rPr>
                <w:rFonts w:ascii="Arial" w:hAnsi="Arial" w:cs="Arial"/>
                <w:sz w:val="24"/>
              </w:rPr>
            </w:pPr>
          </w:p>
          <w:p w:rsidR="00BB0EC1" w:rsidRDefault="007C21A3">
            <w:pPr>
              <w:rPr>
                <w:rFonts w:ascii="Arial" w:hAnsi="Arial" w:cs="Arial"/>
                <w:sz w:val="24"/>
              </w:rPr>
            </w:pPr>
            <w:r>
              <w:rPr>
                <w:rFonts w:ascii="Arial" w:hAnsi="Arial" w:cs="Arial"/>
                <w:sz w:val="24"/>
              </w:rPr>
              <w:t>•</w:t>
            </w:r>
            <w:r>
              <w:rPr>
                <w:rFonts w:ascii="Arial" w:hAnsi="Arial" w:cs="Arial"/>
                <w:sz w:val="24"/>
              </w:rPr>
              <w:tab/>
              <w:t>Large household appliances;</w:t>
            </w:r>
          </w:p>
          <w:p w:rsidR="00BB0EC1" w:rsidRDefault="007C21A3">
            <w:pPr>
              <w:rPr>
                <w:rFonts w:ascii="Arial" w:hAnsi="Arial" w:cs="Arial"/>
                <w:sz w:val="24"/>
              </w:rPr>
            </w:pPr>
            <w:r>
              <w:rPr>
                <w:rFonts w:ascii="Arial" w:hAnsi="Arial" w:cs="Arial"/>
                <w:sz w:val="24"/>
              </w:rPr>
              <w:t>•</w:t>
            </w:r>
            <w:r>
              <w:rPr>
                <w:rFonts w:ascii="Arial" w:hAnsi="Arial" w:cs="Arial"/>
                <w:sz w:val="24"/>
              </w:rPr>
              <w:tab/>
              <w:t>Cooling equipment;</w:t>
            </w:r>
          </w:p>
          <w:p w:rsidR="00BB0EC1" w:rsidRDefault="007C21A3">
            <w:pPr>
              <w:rPr>
                <w:rFonts w:ascii="Arial" w:hAnsi="Arial" w:cs="Arial"/>
                <w:sz w:val="24"/>
              </w:rPr>
            </w:pPr>
            <w:r>
              <w:rPr>
                <w:rFonts w:ascii="Arial" w:hAnsi="Arial" w:cs="Arial"/>
                <w:sz w:val="24"/>
              </w:rPr>
              <w:t>•</w:t>
            </w:r>
            <w:r>
              <w:rPr>
                <w:rFonts w:ascii="Arial" w:hAnsi="Arial" w:cs="Arial"/>
                <w:sz w:val="24"/>
              </w:rPr>
              <w:tab/>
              <w:t>Display equipment i.e. Cathode ray tubes, liquid-crystal displays and plasma displays (including televisions and monitors);</w:t>
            </w:r>
          </w:p>
          <w:p w:rsidR="00BB0EC1" w:rsidRDefault="007C21A3">
            <w:pPr>
              <w:rPr>
                <w:rFonts w:ascii="Arial" w:hAnsi="Arial" w:cs="Arial"/>
                <w:sz w:val="24"/>
              </w:rPr>
            </w:pPr>
            <w:r>
              <w:rPr>
                <w:rFonts w:ascii="Arial" w:hAnsi="Arial" w:cs="Arial"/>
                <w:sz w:val="24"/>
              </w:rPr>
              <w:t>•</w:t>
            </w:r>
            <w:r>
              <w:rPr>
                <w:rFonts w:ascii="Arial" w:hAnsi="Arial" w:cs="Arial"/>
                <w:sz w:val="24"/>
              </w:rPr>
              <w:tab/>
              <w:t xml:space="preserve">Lamps (including filament bulbs on certain sites as advised by the council).  </w:t>
            </w:r>
          </w:p>
          <w:p w:rsidR="00BB0EC1" w:rsidRDefault="007C21A3">
            <w:pPr>
              <w:rPr>
                <w:rFonts w:ascii="Arial" w:hAnsi="Arial" w:cs="Arial"/>
                <w:sz w:val="24"/>
              </w:rPr>
            </w:pPr>
            <w:r>
              <w:rPr>
                <w:rFonts w:ascii="Arial" w:hAnsi="Arial" w:cs="Arial"/>
                <w:sz w:val="24"/>
              </w:rPr>
              <w:t>•</w:t>
            </w:r>
            <w:r>
              <w:rPr>
                <w:rFonts w:ascii="Arial" w:hAnsi="Arial" w:cs="Arial"/>
                <w:sz w:val="24"/>
              </w:rPr>
              <w:tab/>
              <w:t xml:space="preserve">Household Batteries </w:t>
            </w:r>
          </w:p>
          <w:p w:rsidR="00BB0EC1" w:rsidRDefault="007C21A3">
            <w:pPr>
              <w:rPr>
                <w:rFonts w:ascii="Arial" w:hAnsi="Arial" w:cs="Arial"/>
                <w:sz w:val="24"/>
              </w:rPr>
            </w:pPr>
            <w:r>
              <w:rPr>
                <w:rFonts w:ascii="Arial" w:hAnsi="Arial" w:cs="Arial"/>
                <w:sz w:val="24"/>
              </w:rPr>
              <w:t>•</w:t>
            </w:r>
            <w:r>
              <w:rPr>
                <w:rFonts w:ascii="Arial" w:hAnsi="Arial" w:cs="Arial"/>
                <w:sz w:val="24"/>
              </w:rPr>
              <w:tab/>
              <w:t>Printer Cartridges</w:t>
            </w:r>
          </w:p>
          <w:p w:rsidR="00BB0EC1" w:rsidRDefault="007C21A3">
            <w:pPr>
              <w:rPr>
                <w:rFonts w:ascii="Arial" w:hAnsi="Arial" w:cs="Arial"/>
                <w:sz w:val="24"/>
              </w:rPr>
            </w:pPr>
            <w:r>
              <w:rPr>
                <w:rFonts w:ascii="Arial" w:hAnsi="Arial" w:cs="Arial"/>
                <w:sz w:val="24"/>
              </w:rPr>
              <w:t>•</w:t>
            </w:r>
            <w:r>
              <w:rPr>
                <w:rFonts w:ascii="Arial" w:hAnsi="Arial" w:cs="Arial"/>
                <w:sz w:val="24"/>
              </w:rPr>
              <w:tab/>
              <w:t>Al</w:t>
            </w:r>
            <w:r>
              <w:rPr>
                <w:rFonts w:ascii="Arial" w:hAnsi="Arial" w:cs="Arial"/>
                <w:sz w:val="24"/>
              </w:rPr>
              <w:t>l other WEEE.</w:t>
            </w:r>
          </w:p>
          <w:p w:rsidR="00BB0EC1" w:rsidRDefault="007C21A3">
            <w:pPr>
              <w:rPr>
                <w:rFonts w:ascii="Arial" w:hAnsi="Arial" w:cs="Arial"/>
                <w:sz w:val="24"/>
              </w:rPr>
            </w:pPr>
          </w:p>
          <w:p w:rsidR="00BB0EC1" w:rsidRDefault="007C21A3">
            <w:pPr>
              <w:rPr>
                <w:rFonts w:ascii="Arial" w:hAnsi="Arial" w:cs="Arial"/>
                <w:sz w:val="24"/>
              </w:rPr>
            </w:pPr>
            <w:r>
              <w:rPr>
                <w:rFonts w:ascii="Arial" w:hAnsi="Arial" w:cs="Arial"/>
                <w:sz w:val="24"/>
              </w:rPr>
              <w:t xml:space="preserve">WEEE shall be collected from Designated Collection Facilities (DCFs), these being Lancashire County Council's 15 Household Waste Recycling Centres, 2 Waste </w:t>
            </w:r>
            <w:r>
              <w:rPr>
                <w:rFonts w:ascii="Arial" w:hAnsi="Arial" w:cs="Arial"/>
                <w:sz w:val="24"/>
              </w:rPr>
              <w:lastRenderedPageBreak/>
              <w:t>Transfer Stations, and 1 Community Recycling &amp; Re-Use Centre. Local Collection Author</w:t>
            </w:r>
            <w:r>
              <w:rPr>
                <w:rFonts w:ascii="Arial" w:hAnsi="Arial" w:cs="Arial"/>
                <w:sz w:val="24"/>
              </w:rPr>
              <w:t>ity District Depots also act as a DCF.</w:t>
            </w:r>
          </w:p>
          <w:p w:rsidR="00BB0EC1" w:rsidRDefault="007C21A3">
            <w:pPr>
              <w:rPr>
                <w:rFonts w:ascii="Arial" w:hAnsi="Arial" w:cs="Arial"/>
                <w:sz w:val="24"/>
              </w:rPr>
            </w:pPr>
          </w:p>
          <w:p w:rsidR="00BB0EC1" w:rsidRDefault="007C21A3">
            <w:pPr>
              <w:rPr>
                <w:rFonts w:ascii="Arial" w:hAnsi="Arial" w:cs="Arial"/>
                <w:sz w:val="24"/>
              </w:rPr>
            </w:pPr>
            <w:r>
              <w:rPr>
                <w:rFonts w:ascii="Arial" w:hAnsi="Arial" w:cs="Arial"/>
                <w:sz w:val="24"/>
              </w:rPr>
              <w:t xml:space="preserve">Collection and disposal of household batteries is also required from battery collection points throughout the county, such as primary schools, secondary schools, and libraries. </w:t>
            </w:r>
          </w:p>
          <w:p w:rsidR="00BB0EC1" w:rsidRDefault="007C21A3">
            <w:pPr>
              <w:rPr>
                <w:rFonts w:ascii="Arial" w:hAnsi="Arial" w:cs="Arial"/>
                <w:sz w:val="24"/>
              </w:rPr>
            </w:pPr>
          </w:p>
          <w:p w:rsidR="00BB0EC1" w:rsidRDefault="007C21A3">
            <w:pPr>
              <w:rPr>
                <w:rFonts w:ascii="Arial" w:hAnsi="Arial" w:cs="Arial"/>
                <w:sz w:val="24"/>
              </w:rPr>
            </w:pPr>
            <w:r>
              <w:rPr>
                <w:rFonts w:ascii="Arial" w:hAnsi="Arial" w:cs="Arial"/>
                <w:sz w:val="24"/>
              </w:rPr>
              <w:t>The successful tenderer will be requi</w:t>
            </w:r>
            <w:r>
              <w:rPr>
                <w:rFonts w:ascii="Arial" w:hAnsi="Arial" w:cs="Arial"/>
                <w:sz w:val="24"/>
              </w:rPr>
              <w:t>red, as a minimum:</w:t>
            </w:r>
          </w:p>
          <w:p w:rsidR="00BB0EC1" w:rsidRDefault="007C21A3">
            <w:pPr>
              <w:rPr>
                <w:rFonts w:ascii="Arial" w:hAnsi="Arial" w:cs="Arial"/>
                <w:sz w:val="24"/>
              </w:rPr>
            </w:pPr>
          </w:p>
          <w:p w:rsidR="00BB0EC1" w:rsidRDefault="007C21A3" w:rsidP="00BB0EC1">
            <w:pPr>
              <w:pStyle w:val="ListParagraph"/>
              <w:numPr>
                <w:ilvl w:val="0"/>
                <w:numId w:val="2"/>
              </w:numPr>
              <w:rPr>
                <w:rFonts w:ascii="Arial" w:hAnsi="Arial" w:cs="Arial"/>
                <w:sz w:val="24"/>
              </w:rPr>
            </w:pPr>
            <w:r>
              <w:rPr>
                <w:rFonts w:ascii="Arial" w:hAnsi="Arial" w:cs="Arial"/>
                <w:sz w:val="24"/>
              </w:rPr>
              <w:t xml:space="preserve"> to provide all plant and resources necessary for the loading of WEEE onto transport; </w:t>
            </w:r>
          </w:p>
          <w:p w:rsidR="00BB0EC1" w:rsidRDefault="007C21A3" w:rsidP="00BB0EC1">
            <w:pPr>
              <w:pStyle w:val="ListParagraph"/>
              <w:numPr>
                <w:ilvl w:val="0"/>
                <w:numId w:val="2"/>
              </w:numPr>
              <w:rPr>
                <w:rFonts w:ascii="Arial" w:hAnsi="Arial" w:cs="Arial"/>
                <w:sz w:val="24"/>
              </w:rPr>
            </w:pPr>
            <w:r>
              <w:rPr>
                <w:rFonts w:ascii="Arial" w:hAnsi="Arial" w:cs="Arial"/>
                <w:sz w:val="24"/>
              </w:rPr>
              <w:t xml:space="preserve">to provide transportation of all WEEE collected from DCFs  to appropriate treatment/disposal facilities; </w:t>
            </w:r>
          </w:p>
          <w:p w:rsidR="00BB0EC1" w:rsidRDefault="007C21A3" w:rsidP="00BB0EC1">
            <w:pPr>
              <w:pStyle w:val="ListParagraph"/>
              <w:numPr>
                <w:ilvl w:val="0"/>
                <w:numId w:val="2"/>
              </w:numPr>
              <w:rPr>
                <w:rFonts w:ascii="Arial" w:hAnsi="Arial" w:cs="Arial"/>
                <w:sz w:val="24"/>
              </w:rPr>
            </w:pPr>
            <w:r>
              <w:rPr>
                <w:rFonts w:ascii="Arial" w:hAnsi="Arial" w:cs="Arial"/>
                <w:sz w:val="24"/>
              </w:rPr>
              <w:t>to comply with all duty of care provisions;</w:t>
            </w:r>
          </w:p>
          <w:p w:rsidR="00BB0EC1" w:rsidRDefault="007C21A3" w:rsidP="00BB0EC1">
            <w:pPr>
              <w:pStyle w:val="ListParagraph"/>
              <w:numPr>
                <w:ilvl w:val="0"/>
                <w:numId w:val="2"/>
              </w:numPr>
              <w:rPr>
                <w:rFonts w:ascii="Arial" w:hAnsi="Arial" w:cs="Arial"/>
                <w:sz w:val="24"/>
              </w:rPr>
            </w:pPr>
            <w:r>
              <w:rPr>
                <w:rFonts w:ascii="Arial" w:hAnsi="Arial" w:cs="Arial"/>
                <w:sz w:val="24"/>
              </w:rPr>
              <w:t>to issue waste transfer notes and hazardous waste consignment notes;</w:t>
            </w:r>
          </w:p>
          <w:p w:rsidR="00BB0EC1" w:rsidRDefault="007C21A3" w:rsidP="00BB0EC1">
            <w:pPr>
              <w:pStyle w:val="ListParagraph"/>
              <w:numPr>
                <w:ilvl w:val="0"/>
                <w:numId w:val="2"/>
              </w:numPr>
              <w:rPr>
                <w:rFonts w:ascii="Arial" w:hAnsi="Arial" w:cs="Arial"/>
                <w:sz w:val="24"/>
              </w:rPr>
            </w:pPr>
            <w:r>
              <w:rPr>
                <w:rFonts w:ascii="Arial" w:hAnsi="Arial" w:cs="Arial"/>
                <w:sz w:val="24"/>
              </w:rPr>
              <w:t>processing and treatment of all  WEEE collected from DCFs at authorised outlets</w:t>
            </w:r>
          </w:p>
          <w:p w:rsidR="00BB0EC1" w:rsidRDefault="007C21A3" w:rsidP="00BB0EC1">
            <w:pPr>
              <w:pStyle w:val="ListParagraph"/>
              <w:numPr>
                <w:ilvl w:val="0"/>
                <w:numId w:val="2"/>
              </w:numPr>
              <w:rPr>
                <w:rFonts w:ascii="Arial" w:hAnsi="Arial" w:cs="Arial"/>
                <w:sz w:val="24"/>
              </w:rPr>
            </w:pPr>
            <w:r>
              <w:rPr>
                <w:rFonts w:ascii="Arial" w:hAnsi="Arial" w:cs="Arial"/>
                <w:sz w:val="24"/>
              </w:rPr>
              <w:t>to assume responsibility for all costs associated with the reporting of waste movements including fees pay</w:t>
            </w:r>
            <w:r>
              <w:rPr>
                <w:rFonts w:ascii="Arial" w:hAnsi="Arial" w:cs="Arial"/>
                <w:sz w:val="24"/>
              </w:rPr>
              <w:t>able to the Environment Agency as consignee or consignor; and</w:t>
            </w:r>
          </w:p>
          <w:p w:rsidR="00BB0EC1" w:rsidRDefault="007C21A3" w:rsidP="00BB0EC1">
            <w:pPr>
              <w:pStyle w:val="ListParagraph"/>
              <w:numPr>
                <w:ilvl w:val="0"/>
                <w:numId w:val="2"/>
              </w:numPr>
              <w:rPr>
                <w:rFonts w:ascii="Arial" w:hAnsi="Arial" w:cs="Arial"/>
                <w:sz w:val="24"/>
              </w:rPr>
            </w:pPr>
            <w:r>
              <w:rPr>
                <w:rFonts w:ascii="Arial" w:hAnsi="Arial" w:cs="Arial"/>
                <w:sz w:val="24"/>
              </w:rPr>
              <w:t xml:space="preserve">to undertake end-products’ marketing or use as well as the disposal of residual waste in accordance with prevailing environmental legislation and best practice. </w:t>
            </w:r>
          </w:p>
          <w:p w:rsidR="00BB0EC1" w:rsidRDefault="007C21A3">
            <w:pPr>
              <w:rPr>
                <w:rFonts w:ascii="Arial" w:hAnsi="Arial" w:cs="Arial"/>
                <w:sz w:val="24"/>
              </w:rPr>
            </w:pPr>
          </w:p>
        </w:tc>
      </w:tr>
    </w:tbl>
    <w:p w:rsidR="00EB17A0" w:rsidRDefault="007C21A3"/>
    <w:sectPr w:rsidR="00EB17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1A3" w:rsidRDefault="007C21A3" w:rsidP="007C21A3">
      <w:pPr>
        <w:spacing w:after="0" w:line="240" w:lineRule="auto"/>
      </w:pPr>
      <w:r>
        <w:separator/>
      </w:r>
    </w:p>
  </w:endnote>
  <w:endnote w:type="continuationSeparator" w:id="0">
    <w:p w:rsidR="007C21A3" w:rsidRDefault="007C21A3" w:rsidP="007C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1A3" w:rsidRDefault="007C21A3" w:rsidP="007C21A3">
      <w:pPr>
        <w:spacing w:after="0" w:line="240" w:lineRule="auto"/>
      </w:pPr>
      <w:r>
        <w:separator/>
      </w:r>
    </w:p>
  </w:footnote>
  <w:footnote w:type="continuationSeparator" w:id="0">
    <w:p w:rsidR="007C21A3" w:rsidRDefault="007C21A3" w:rsidP="007C2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10DB"/>
    <w:multiLevelType w:val="hybridMultilevel"/>
    <w:tmpl w:val="8EFE2CDE"/>
    <w:lvl w:ilvl="0" w:tplc="19867F7A">
      <w:start w:val="1"/>
      <w:numFmt w:val="decimal"/>
      <w:lvlText w:val="%1."/>
      <w:lvlJc w:val="left"/>
      <w:pPr>
        <w:ind w:left="720" w:hanging="360"/>
      </w:pPr>
    </w:lvl>
    <w:lvl w:ilvl="1" w:tplc="F42AA30E">
      <w:start w:val="1"/>
      <w:numFmt w:val="lowerLetter"/>
      <w:lvlText w:val="%2."/>
      <w:lvlJc w:val="left"/>
      <w:pPr>
        <w:ind w:left="1440" w:hanging="360"/>
      </w:pPr>
    </w:lvl>
    <w:lvl w:ilvl="2" w:tplc="B79428C6">
      <w:start w:val="1"/>
      <w:numFmt w:val="lowerRoman"/>
      <w:lvlText w:val="%3."/>
      <w:lvlJc w:val="right"/>
      <w:pPr>
        <w:ind w:left="2160" w:hanging="180"/>
      </w:pPr>
    </w:lvl>
    <w:lvl w:ilvl="3" w:tplc="A054676A">
      <w:start w:val="1"/>
      <w:numFmt w:val="decimal"/>
      <w:lvlText w:val="%4."/>
      <w:lvlJc w:val="left"/>
      <w:pPr>
        <w:ind w:left="2880" w:hanging="360"/>
      </w:pPr>
    </w:lvl>
    <w:lvl w:ilvl="4" w:tplc="A4D2B904">
      <w:start w:val="1"/>
      <w:numFmt w:val="lowerLetter"/>
      <w:lvlText w:val="%5."/>
      <w:lvlJc w:val="left"/>
      <w:pPr>
        <w:ind w:left="3600" w:hanging="360"/>
      </w:pPr>
    </w:lvl>
    <w:lvl w:ilvl="5" w:tplc="3D30B322">
      <w:start w:val="1"/>
      <w:numFmt w:val="lowerRoman"/>
      <w:lvlText w:val="%6."/>
      <w:lvlJc w:val="right"/>
      <w:pPr>
        <w:ind w:left="4320" w:hanging="180"/>
      </w:pPr>
    </w:lvl>
    <w:lvl w:ilvl="6" w:tplc="963E3DC4">
      <w:start w:val="1"/>
      <w:numFmt w:val="decimal"/>
      <w:lvlText w:val="%7."/>
      <w:lvlJc w:val="left"/>
      <w:pPr>
        <w:ind w:left="5040" w:hanging="360"/>
      </w:pPr>
    </w:lvl>
    <w:lvl w:ilvl="7" w:tplc="0C0A37B6">
      <w:start w:val="1"/>
      <w:numFmt w:val="lowerLetter"/>
      <w:lvlText w:val="%8."/>
      <w:lvlJc w:val="left"/>
      <w:pPr>
        <w:ind w:left="5760" w:hanging="360"/>
      </w:pPr>
    </w:lvl>
    <w:lvl w:ilvl="8" w:tplc="92762D3E">
      <w:start w:val="1"/>
      <w:numFmt w:val="lowerRoman"/>
      <w:lvlText w:val="%9."/>
      <w:lvlJc w:val="right"/>
      <w:pPr>
        <w:ind w:left="6480" w:hanging="180"/>
      </w:pPr>
    </w:lvl>
  </w:abstractNum>
  <w:abstractNum w:abstractNumId="1" w15:restartNumberingAfterBreak="0">
    <w:nsid w:val="7DD7691F"/>
    <w:multiLevelType w:val="hybridMultilevel"/>
    <w:tmpl w:val="4BF8F4A6"/>
    <w:lvl w:ilvl="0" w:tplc="C1EAE9B4">
      <w:numFmt w:val="bullet"/>
      <w:lvlText w:val=""/>
      <w:lvlJc w:val="left"/>
      <w:pPr>
        <w:ind w:left="720" w:hanging="360"/>
      </w:pPr>
      <w:rPr>
        <w:rFonts w:ascii="Symbol" w:eastAsiaTheme="minorHAnsi" w:hAnsi="Symbol" w:cs="Arial" w:hint="default"/>
      </w:rPr>
    </w:lvl>
    <w:lvl w:ilvl="1" w:tplc="33E0A0BA" w:tentative="1">
      <w:start w:val="1"/>
      <w:numFmt w:val="bullet"/>
      <w:lvlText w:val="o"/>
      <w:lvlJc w:val="left"/>
      <w:pPr>
        <w:ind w:left="1440" w:hanging="360"/>
      </w:pPr>
      <w:rPr>
        <w:rFonts w:ascii="Courier New" w:hAnsi="Courier New" w:cs="Courier New" w:hint="default"/>
      </w:rPr>
    </w:lvl>
    <w:lvl w:ilvl="2" w:tplc="9C2A6914" w:tentative="1">
      <w:start w:val="1"/>
      <w:numFmt w:val="bullet"/>
      <w:lvlText w:val=""/>
      <w:lvlJc w:val="left"/>
      <w:pPr>
        <w:ind w:left="2160" w:hanging="360"/>
      </w:pPr>
      <w:rPr>
        <w:rFonts w:ascii="Wingdings" w:hAnsi="Wingdings" w:hint="default"/>
      </w:rPr>
    </w:lvl>
    <w:lvl w:ilvl="3" w:tplc="BF00FFF4" w:tentative="1">
      <w:start w:val="1"/>
      <w:numFmt w:val="bullet"/>
      <w:lvlText w:val=""/>
      <w:lvlJc w:val="left"/>
      <w:pPr>
        <w:ind w:left="2880" w:hanging="360"/>
      </w:pPr>
      <w:rPr>
        <w:rFonts w:ascii="Symbol" w:hAnsi="Symbol" w:hint="default"/>
      </w:rPr>
    </w:lvl>
    <w:lvl w:ilvl="4" w:tplc="F9D64E10" w:tentative="1">
      <w:start w:val="1"/>
      <w:numFmt w:val="bullet"/>
      <w:lvlText w:val="o"/>
      <w:lvlJc w:val="left"/>
      <w:pPr>
        <w:ind w:left="3600" w:hanging="360"/>
      </w:pPr>
      <w:rPr>
        <w:rFonts w:ascii="Courier New" w:hAnsi="Courier New" w:cs="Courier New" w:hint="default"/>
      </w:rPr>
    </w:lvl>
    <w:lvl w:ilvl="5" w:tplc="3BD27594" w:tentative="1">
      <w:start w:val="1"/>
      <w:numFmt w:val="bullet"/>
      <w:lvlText w:val=""/>
      <w:lvlJc w:val="left"/>
      <w:pPr>
        <w:ind w:left="4320" w:hanging="360"/>
      </w:pPr>
      <w:rPr>
        <w:rFonts w:ascii="Wingdings" w:hAnsi="Wingdings" w:hint="default"/>
      </w:rPr>
    </w:lvl>
    <w:lvl w:ilvl="6" w:tplc="41F245BA" w:tentative="1">
      <w:start w:val="1"/>
      <w:numFmt w:val="bullet"/>
      <w:lvlText w:val=""/>
      <w:lvlJc w:val="left"/>
      <w:pPr>
        <w:ind w:left="5040" w:hanging="360"/>
      </w:pPr>
      <w:rPr>
        <w:rFonts w:ascii="Symbol" w:hAnsi="Symbol" w:hint="default"/>
      </w:rPr>
    </w:lvl>
    <w:lvl w:ilvl="7" w:tplc="3DFA34DC" w:tentative="1">
      <w:start w:val="1"/>
      <w:numFmt w:val="bullet"/>
      <w:lvlText w:val="o"/>
      <w:lvlJc w:val="left"/>
      <w:pPr>
        <w:ind w:left="5760" w:hanging="360"/>
      </w:pPr>
      <w:rPr>
        <w:rFonts w:ascii="Courier New" w:hAnsi="Courier New" w:cs="Courier New" w:hint="default"/>
      </w:rPr>
    </w:lvl>
    <w:lvl w:ilvl="8" w:tplc="51F0C106"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0F"/>
    <w:rsid w:val="007C21A3"/>
    <w:rsid w:val="00BF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259E"/>
  <w15:docId w15:val="{2D54C049-8595-4124-AC4D-9732B291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170"/>
    <w:pPr>
      <w:ind w:left="720"/>
      <w:contextualSpacing/>
    </w:pPr>
  </w:style>
  <w:style w:type="paragraph" w:styleId="Header">
    <w:name w:val="header"/>
    <w:basedOn w:val="Normal"/>
    <w:link w:val="HeaderChar"/>
    <w:uiPriority w:val="99"/>
    <w:unhideWhenUsed/>
    <w:rsid w:val="007C2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1A3"/>
  </w:style>
  <w:style w:type="paragraph" w:styleId="Footer">
    <w:name w:val="footer"/>
    <w:basedOn w:val="Normal"/>
    <w:link w:val="FooterChar"/>
    <w:uiPriority w:val="99"/>
    <w:unhideWhenUsed/>
    <w:rsid w:val="007C2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Fairclough, Paul</dc:creator>
  <cp:lastModifiedBy>Milroy, Andy</cp:lastModifiedBy>
  <cp:revision>3</cp:revision>
  <dcterms:created xsi:type="dcterms:W3CDTF">2020-09-14T14:47:00Z</dcterms:created>
  <dcterms:modified xsi:type="dcterms:W3CDTF">2020-09-18T11:13:00Z</dcterms:modified>
</cp:coreProperties>
</file>